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4A0" w:firstRow="1" w:lastRow="0" w:firstColumn="1" w:lastColumn="0" w:noHBand="0" w:noVBand="1"/>
      </w:tblPr>
      <w:tblGrid>
        <w:gridCol w:w="5778"/>
        <w:gridCol w:w="3969"/>
      </w:tblGrid>
      <w:tr w:rsidR="007C11D7" w:rsidRPr="00C344FF" w14:paraId="28C0F624" w14:textId="77777777" w:rsidTr="00C344FF">
        <w:tc>
          <w:tcPr>
            <w:tcW w:w="5778" w:type="dxa"/>
            <w:hideMark/>
          </w:tcPr>
          <w:p w14:paraId="515C6146" w14:textId="77777777" w:rsidR="007C11D7" w:rsidRPr="00C344FF" w:rsidRDefault="00CB066F" w:rsidP="00BF6E40">
            <w:pPr>
              <w:pStyle w:val="Heading2"/>
              <w:rPr>
                <w:lang w:val="en-IE"/>
              </w:rPr>
            </w:pPr>
            <w:r w:rsidRPr="00C344FF">
              <w:rPr>
                <w:rFonts w:ascii="Arial" w:hAnsi="Arial"/>
                <w:noProof/>
                <w:lang w:val="en-IE" w:eastAsia="en-IE"/>
              </w:rPr>
              <w:drawing>
                <wp:anchor distT="0" distB="0" distL="114300" distR="114300" simplePos="0" relativeHeight="251657728" behindDoc="1" locked="0" layoutInCell="1" allowOverlap="1" wp14:anchorId="79F6CCB9" wp14:editId="0C18D856">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2" name="Picture 2"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oth-University-Logo_CMYK_AW"/>
                          <pic:cNvPicPr>
                            <a:picLocks noChangeAspect="1" noChangeArrowheads="1"/>
                          </pic:cNvPicPr>
                        </pic:nvPicPr>
                        <pic:blipFill>
                          <a:blip r:embed="rId8">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p w14:paraId="600CA281" w14:textId="62E1483A" w:rsidR="007C11D7" w:rsidRPr="00893A9E" w:rsidRDefault="00893A9E" w:rsidP="00BF6E40">
            <w:pPr>
              <w:rPr>
                <w:rFonts w:ascii="Arial" w:hAnsi="Arial" w:cs="Arial"/>
                <w:b/>
                <w:sz w:val="28"/>
                <w:szCs w:val="28"/>
                <w:lang w:val="en-IE"/>
              </w:rPr>
            </w:pPr>
            <w:r>
              <w:rPr>
                <w:rFonts w:ascii="Arial" w:hAnsi="Arial" w:cs="Arial"/>
                <w:b/>
                <w:sz w:val="28"/>
                <w:szCs w:val="28"/>
                <w:lang w:val="en-IE"/>
              </w:rPr>
              <w:t xml:space="preserve">          </w:t>
            </w:r>
            <w:proofErr w:type="spellStart"/>
            <w:r w:rsidR="00CD0E44" w:rsidRPr="00893A9E">
              <w:rPr>
                <w:rFonts w:ascii="Arial" w:hAnsi="Arial" w:cs="Arial"/>
                <w:b/>
                <w:sz w:val="28"/>
                <w:szCs w:val="28"/>
                <w:lang w:val="en-IE"/>
              </w:rPr>
              <w:t>Ollscoil</w:t>
            </w:r>
            <w:proofErr w:type="spellEnd"/>
            <w:r w:rsidR="00CD0E44" w:rsidRPr="00893A9E">
              <w:rPr>
                <w:rFonts w:ascii="Arial" w:hAnsi="Arial" w:cs="Arial"/>
                <w:b/>
                <w:sz w:val="28"/>
                <w:szCs w:val="28"/>
                <w:lang w:val="en-IE"/>
              </w:rPr>
              <w:t xml:space="preserve"> </w:t>
            </w:r>
            <w:proofErr w:type="spellStart"/>
            <w:r w:rsidR="00CD0E44" w:rsidRPr="00893A9E">
              <w:rPr>
                <w:rFonts w:ascii="Arial" w:hAnsi="Arial" w:cs="Arial"/>
                <w:b/>
                <w:sz w:val="28"/>
                <w:szCs w:val="28"/>
                <w:lang w:val="en-IE"/>
              </w:rPr>
              <w:t>Mhá</w:t>
            </w:r>
            <w:proofErr w:type="spellEnd"/>
            <w:r w:rsidR="00CD0E44" w:rsidRPr="00893A9E">
              <w:rPr>
                <w:rFonts w:ascii="Arial" w:hAnsi="Arial" w:cs="Arial"/>
                <w:b/>
                <w:sz w:val="28"/>
                <w:szCs w:val="28"/>
                <w:lang w:val="en-IE"/>
              </w:rPr>
              <w:t xml:space="preserve"> </w:t>
            </w:r>
            <w:proofErr w:type="spellStart"/>
            <w:r w:rsidR="00CD0E44" w:rsidRPr="00893A9E">
              <w:rPr>
                <w:rFonts w:ascii="Arial" w:hAnsi="Arial" w:cs="Arial"/>
                <w:b/>
                <w:sz w:val="28"/>
                <w:szCs w:val="28"/>
                <w:lang w:val="en-IE"/>
              </w:rPr>
              <w:t>Nuad</w:t>
            </w:r>
            <w:proofErr w:type="spellEnd"/>
          </w:p>
          <w:p w14:paraId="5FC3142A" w14:textId="4B716BEE" w:rsidR="007C11D7" w:rsidRPr="00893A9E" w:rsidRDefault="00893A9E" w:rsidP="00BF6E40">
            <w:pPr>
              <w:rPr>
                <w:rFonts w:ascii="Arial" w:hAnsi="Arial" w:cs="Arial"/>
                <w:b/>
                <w:sz w:val="28"/>
                <w:szCs w:val="28"/>
                <w:lang w:val="en-IE"/>
              </w:rPr>
            </w:pPr>
            <w:r>
              <w:rPr>
                <w:rFonts w:ascii="Arial" w:hAnsi="Arial" w:cs="Arial"/>
                <w:b/>
                <w:sz w:val="28"/>
                <w:szCs w:val="28"/>
                <w:lang w:val="en-IE"/>
              </w:rPr>
              <w:t xml:space="preserve">          </w:t>
            </w:r>
            <w:r w:rsidR="007C11D7" w:rsidRPr="00893A9E">
              <w:rPr>
                <w:rFonts w:ascii="Arial" w:hAnsi="Arial" w:cs="Arial"/>
                <w:b/>
                <w:sz w:val="28"/>
                <w:szCs w:val="28"/>
                <w:lang w:val="en-IE"/>
              </w:rPr>
              <w:t>Maynooth University</w:t>
            </w:r>
            <w:r w:rsidR="00CD0E44" w:rsidRPr="00893A9E">
              <w:rPr>
                <w:rFonts w:ascii="Arial" w:hAnsi="Arial" w:cs="Arial"/>
                <w:b/>
                <w:sz w:val="28"/>
                <w:szCs w:val="28"/>
                <w:lang w:val="en-IE"/>
              </w:rPr>
              <w:t xml:space="preserve">  </w:t>
            </w:r>
          </w:p>
          <w:p w14:paraId="59E97F46" w14:textId="77777777" w:rsidR="007C11D7" w:rsidRPr="00C344FF" w:rsidRDefault="007C11D7" w:rsidP="00BF6E40">
            <w:pPr>
              <w:rPr>
                <w:rFonts w:ascii="Arial" w:hAnsi="Arial" w:cs="Arial"/>
                <w:b/>
                <w:szCs w:val="24"/>
                <w:lang w:val="en-IE"/>
              </w:rPr>
            </w:pPr>
          </w:p>
          <w:p w14:paraId="6DC48F79" w14:textId="77777777" w:rsidR="007C11D7" w:rsidRPr="00C344FF" w:rsidRDefault="007C11D7" w:rsidP="00BF6E40">
            <w:pPr>
              <w:spacing w:line="276" w:lineRule="auto"/>
              <w:rPr>
                <w:rFonts w:ascii="Arial" w:hAnsi="Arial" w:cs="Arial"/>
                <w:szCs w:val="22"/>
                <w:lang w:val="en-IE"/>
              </w:rPr>
            </w:pPr>
          </w:p>
        </w:tc>
      </w:tr>
    </w:tbl>
    <w:p w14:paraId="0DAF8D30" w14:textId="77777777" w:rsidR="00C90274" w:rsidRPr="00C344FF" w:rsidRDefault="00C90274" w:rsidP="00BF6E40">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IE"/>
        </w:rPr>
      </w:pPr>
    </w:p>
    <w:p w14:paraId="22C81034" w14:textId="59D35840" w:rsidR="00BC65E4" w:rsidRPr="00C344FF" w:rsidRDefault="003C15DC"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lang w:val="en-IE"/>
        </w:rPr>
      </w:pPr>
      <w:r w:rsidRPr="00C344FF">
        <w:rPr>
          <w:b/>
          <w:sz w:val="20"/>
          <w:lang w:val="en-IE"/>
        </w:rPr>
        <w:t>V</w:t>
      </w:r>
      <w:r w:rsidR="004E4C5F">
        <w:rPr>
          <w:b/>
          <w:sz w:val="20"/>
          <w:lang w:val="en-IE"/>
        </w:rPr>
        <w:t>10</w:t>
      </w:r>
      <w:r w:rsidR="000C29DF">
        <w:rPr>
          <w:b/>
          <w:sz w:val="20"/>
          <w:lang w:val="en-IE"/>
        </w:rPr>
        <w:t xml:space="preserve">:  </w:t>
      </w:r>
      <w:r w:rsidR="004E4C5F">
        <w:rPr>
          <w:b/>
          <w:sz w:val="20"/>
          <w:lang w:val="en-IE"/>
        </w:rPr>
        <w:t>April</w:t>
      </w:r>
      <w:r w:rsidR="002B65DE">
        <w:rPr>
          <w:b/>
          <w:sz w:val="20"/>
          <w:lang w:val="en-IE"/>
        </w:rPr>
        <w:t xml:space="preserve"> 20</w:t>
      </w:r>
      <w:r w:rsidR="00207A14">
        <w:rPr>
          <w:b/>
          <w:sz w:val="20"/>
          <w:lang w:val="en-IE"/>
        </w:rPr>
        <w:t>2</w:t>
      </w:r>
      <w:r w:rsidR="004E4C5F">
        <w:rPr>
          <w:b/>
          <w:sz w:val="20"/>
          <w:lang w:val="en-IE"/>
        </w:rPr>
        <w:t>2</w:t>
      </w:r>
    </w:p>
    <w:p w14:paraId="70226358" w14:textId="77777777" w:rsidR="00BC65E4" w:rsidRPr="00C344FF" w:rsidRDefault="00BC65E4" w:rsidP="00BF6E40">
      <w:pPr>
        <w:pBdr>
          <w:bottom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IE"/>
        </w:rPr>
      </w:pPr>
    </w:p>
    <w:p w14:paraId="724A199B" w14:textId="77777777" w:rsidR="004A78AD" w:rsidRPr="00C344FF" w:rsidRDefault="004A78AD"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IE"/>
        </w:rPr>
      </w:pPr>
    </w:p>
    <w:p w14:paraId="1FC54C37"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6F09AC06"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IE"/>
        </w:rPr>
      </w:pPr>
      <w:r w:rsidRPr="00C344FF">
        <w:rPr>
          <w:b/>
          <w:lang w:val="en-IE"/>
        </w:rPr>
        <w:t xml:space="preserve">THE FOLLOWING </w:t>
      </w:r>
      <w:smartTag w:uri="urn:schemas-microsoft-com:office:smarttags" w:element="stockticker">
        <w:r w:rsidRPr="00C344FF">
          <w:rPr>
            <w:b/>
            <w:lang w:val="en-IE"/>
          </w:rPr>
          <w:t>ARE</w:t>
        </w:r>
      </w:smartTag>
      <w:r w:rsidRPr="00C344FF">
        <w:rPr>
          <w:b/>
          <w:lang w:val="en-IE"/>
        </w:rPr>
        <w:t xml:space="preserve"> THE PROCEDURES FOR THE DISCUSSION,</w:t>
      </w:r>
    </w:p>
    <w:p w14:paraId="61195E69"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IE"/>
        </w:rPr>
      </w:pPr>
      <w:r w:rsidRPr="00C344FF">
        <w:rPr>
          <w:b/>
          <w:lang w:val="en-IE"/>
        </w:rPr>
        <w:t xml:space="preserve">CHECKING </w:t>
      </w:r>
      <w:smartTag w:uri="urn:schemas-microsoft-com:office:smarttags" w:element="stockticker">
        <w:r w:rsidRPr="00C344FF">
          <w:rPr>
            <w:b/>
            <w:lang w:val="en-IE"/>
          </w:rPr>
          <w:t>AND</w:t>
        </w:r>
      </w:smartTag>
      <w:r w:rsidRPr="00C344FF">
        <w:rPr>
          <w:b/>
          <w:lang w:val="en-IE"/>
        </w:rPr>
        <w:t xml:space="preserve"> APPEAL OF EXAMINATION RESULTS.</w:t>
      </w:r>
    </w:p>
    <w:p w14:paraId="2547C248" w14:textId="77777777" w:rsidR="007C11D7" w:rsidRPr="00C344FF" w:rsidRDefault="007C11D7"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IE"/>
        </w:rPr>
      </w:pPr>
    </w:p>
    <w:p w14:paraId="4CF4F95B"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IE"/>
        </w:rPr>
      </w:pPr>
      <w:r w:rsidRPr="00C344FF">
        <w:rPr>
          <w:b/>
          <w:lang w:val="en-IE"/>
        </w:rPr>
        <w:t>THESE PROCEDURES SHALL BE IMPLEMENTED BY</w:t>
      </w:r>
    </w:p>
    <w:p w14:paraId="6D0EF08C"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IE"/>
        </w:rPr>
      </w:pPr>
      <w:r w:rsidRPr="00C344FF">
        <w:rPr>
          <w:b/>
          <w:lang w:val="en-IE"/>
        </w:rPr>
        <w:t xml:space="preserve">THE </w:t>
      </w:r>
      <w:r w:rsidR="00037938">
        <w:rPr>
          <w:b/>
          <w:lang w:val="en-IE"/>
        </w:rPr>
        <w:t>REGISTRAR</w:t>
      </w:r>
    </w:p>
    <w:p w14:paraId="712F188D" w14:textId="77777777" w:rsidR="00FC088A" w:rsidRPr="00C344FF" w:rsidRDefault="00FC088A"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IE"/>
        </w:rPr>
      </w:pPr>
    </w:p>
    <w:p w14:paraId="36CDD66E"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lang w:val="en-IE"/>
        </w:rPr>
      </w:pPr>
    </w:p>
    <w:p w14:paraId="11A80185"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b/>
          <w:lang w:val="en-IE"/>
        </w:rPr>
        <w:t>1.</w:t>
      </w:r>
      <w:r w:rsidRPr="00C344FF">
        <w:rPr>
          <w:b/>
          <w:lang w:val="en-IE"/>
        </w:rPr>
        <w:tab/>
        <w:t>PROCEDURES FOR DISCUSSION OF EXAMINATION RESULTS</w:t>
      </w:r>
    </w:p>
    <w:p w14:paraId="754F10B2"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p>
    <w:p w14:paraId="75408482" w14:textId="77777777" w:rsidR="00EC43D4" w:rsidRPr="00C344FF" w:rsidRDefault="00EC43D4" w:rsidP="00BF6E40">
      <w:pPr>
        <w:pStyle w:val="NoSpacing"/>
        <w:ind w:left="720"/>
        <w:rPr>
          <w:rFonts w:ascii="Times New Roman" w:hAnsi="Times New Roman"/>
        </w:rPr>
      </w:pPr>
      <w:r w:rsidRPr="00C344FF">
        <w:rPr>
          <w:rFonts w:ascii="Times New Roman" w:hAnsi="Times New Roman"/>
        </w:rPr>
        <w:t>Each Department or School will make provision to allow students to discuss their examination results with the Department within ten days of the publication of examination results. Following the Summer and Autumn examination boards, this will normally be done on an agreed date to facilitate students wishing to consult multiple departments.</w:t>
      </w:r>
    </w:p>
    <w:p w14:paraId="47285534"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71598DF8" w14:textId="77777777" w:rsidR="00B926DB" w:rsidRPr="00C344FF" w:rsidRDefault="00B926DB"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13A85A62"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b/>
          <w:lang w:val="en-IE"/>
        </w:rPr>
        <w:t>2.</w:t>
      </w:r>
      <w:r w:rsidRPr="00C344FF">
        <w:rPr>
          <w:b/>
          <w:lang w:val="en-IE"/>
        </w:rPr>
        <w:tab/>
        <w:t>PROCEDURES FOR CHECKING OF EXAMINATION RESULTS</w:t>
      </w:r>
    </w:p>
    <w:p w14:paraId="3CA01BAC"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p>
    <w:p w14:paraId="6552668E" w14:textId="77777777" w:rsidR="00F85AD0"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IE"/>
        </w:rPr>
      </w:pPr>
      <w:r w:rsidRPr="00C344FF">
        <w:rPr>
          <w:lang w:val="en-IE"/>
        </w:rPr>
        <w:tab/>
        <w:t>(</w:t>
      </w:r>
      <w:proofErr w:type="spellStart"/>
      <w:r w:rsidRPr="00C344FF">
        <w:rPr>
          <w:lang w:val="en-IE"/>
        </w:rPr>
        <w:t>i</w:t>
      </w:r>
      <w:proofErr w:type="spellEnd"/>
      <w:r w:rsidRPr="00C344FF">
        <w:rPr>
          <w:lang w:val="en-IE"/>
        </w:rPr>
        <w:t>)</w:t>
      </w:r>
      <w:r w:rsidRPr="00C344FF">
        <w:rPr>
          <w:lang w:val="en-IE"/>
        </w:rPr>
        <w:tab/>
      </w:r>
      <w:r w:rsidR="00262D67">
        <w:rPr>
          <w:lang w:val="en-IE"/>
        </w:rPr>
        <w:t>Students may formally request a check of their examination results by send</w:t>
      </w:r>
      <w:r w:rsidR="002903CC">
        <w:rPr>
          <w:lang w:val="en-IE"/>
        </w:rPr>
        <w:t>i</w:t>
      </w:r>
      <w:r w:rsidR="00262D67">
        <w:rPr>
          <w:lang w:val="en-IE"/>
        </w:rPr>
        <w:t xml:space="preserve">ng </w:t>
      </w:r>
      <w:r w:rsidR="0087455F">
        <w:rPr>
          <w:lang w:val="en-IE"/>
        </w:rPr>
        <w:t>a completed Examination Result Recheck Request form (Form RE2) which is available on the Registrar’</w:t>
      </w:r>
      <w:r w:rsidR="00162442">
        <w:rPr>
          <w:lang w:val="en-IE"/>
        </w:rPr>
        <w:t xml:space="preserve">s website at </w:t>
      </w:r>
      <w:r w:rsidR="00F85AD0" w:rsidRPr="00F85AD0">
        <w:rPr>
          <w:lang w:val="en-IE"/>
        </w:rPr>
        <w:t>https://www.maynoothuniversity.ie/registrar/examination-recheck</w:t>
      </w:r>
    </w:p>
    <w:p w14:paraId="253543F5" w14:textId="77777777" w:rsidR="00C90274" w:rsidRPr="00C344FF" w:rsidRDefault="00F85AD0"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IE"/>
        </w:rPr>
      </w:pPr>
      <w:r>
        <w:rPr>
          <w:lang w:val="en-IE"/>
        </w:rPr>
        <w:tab/>
      </w:r>
      <w:r>
        <w:rPr>
          <w:lang w:val="en-IE"/>
        </w:rPr>
        <w:tab/>
      </w:r>
      <w:r w:rsidR="002256B1">
        <w:rPr>
          <w:lang w:val="en-IE"/>
        </w:rPr>
        <w:t xml:space="preserve">The request for a </w:t>
      </w:r>
      <w:r w:rsidR="00962743">
        <w:rPr>
          <w:lang w:val="en-IE"/>
        </w:rPr>
        <w:t>recheck of results should be sen</w:t>
      </w:r>
      <w:r>
        <w:rPr>
          <w:lang w:val="en-IE"/>
        </w:rPr>
        <w:t>t to the Office of the Registrar</w:t>
      </w:r>
      <w:r w:rsidR="00962743">
        <w:rPr>
          <w:lang w:val="en-IE"/>
        </w:rPr>
        <w:t xml:space="preserve"> and must be received</w:t>
      </w:r>
      <w:r w:rsidR="002256B1">
        <w:rPr>
          <w:lang w:val="en-IE"/>
        </w:rPr>
        <w:t xml:space="preserve"> within </w:t>
      </w:r>
      <w:r w:rsidR="002256B1" w:rsidRPr="002256B1">
        <w:rPr>
          <w:b/>
          <w:lang w:val="en-IE"/>
        </w:rPr>
        <w:t>two weeks</w:t>
      </w:r>
      <w:r w:rsidR="002256B1">
        <w:rPr>
          <w:lang w:val="en-IE"/>
        </w:rPr>
        <w:t xml:space="preserve"> from the date of publication of examination results or in exceptional circumstances, within such extended period as allowed by the President of the University.</w:t>
      </w:r>
      <w:r w:rsidR="002903CC">
        <w:rPr>
          <w:lang w:val="en-IE"/>
        </w:rPr>
        <w:t xml:space="preserve"> </w:t>
      </w:r>
    </w:p>
    <w:p w14:paraId="077CD6D7"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5B4A987F" w14:textId="77777777" w:rsidR="00C90274" w:rsidRPr="004D25BE"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color w:val="000000" w:themeColor="text1"/>
          <w:lang w:val="en-IE"/>
        </w:rPr>
      </w:pPr>
      <w:r w:rsidRPr="00C344FF">
        <w:rPr>
          <w:lang w:val="en-IE"/>
        </w:rPr>
        <w:tab/>
        <w:t>(ii)</w:t>
      </w:r>
      <w:r w:rsidRPr="00C344FF">
        <w:rPr>
          <w:lang w:val="en-IE"/>
        </w:rPr>
        <w:tab/>
        <w:t xml:space="preserve">The </w:t>
      </w:r>
      <w:r w:rsidR="00DC36D7">
        <w:rPr>
          <w:lang w:val="en-IE"/>
        </w:rPr>
        <w:t>Registrar</w:t>
      </w:r>
      <w:r w:rsidRPr="00C344FF">
        <w:rPr>
          <w:lang w:val="en-IE"/>
        </w:rPr>
        <w:t xml:space="preserve"> shall communicate with the relevant Head of Department or his/her nominee, who shall arrange to have the result checked as soon as possible.  The formal check shall ensure that all parts of the examination have been marked and that no errors occurred in the recording, collating or combining of marks which determined the result.</w:t>
      </w:r>
      <w:r w:rsidR="00C344FF" w:rsidRPr="00C344FF">
        <w:rPr>
          <w:lang w:val="en-IE"/>
        </w:rPr>
        <w:t xml:space="preserve"> </w:t>
      </w:r>
      <w:r w:rsidR="00C344FF" w:rsidRPr="004D25BE">
        <w:rPr>
          <w:color w:val="000000" w:themeColor="text1"/>
          <w:lang w:val="en-IE"/>
        </w:rPr>
        <w:t>It should be noted that the recheck does not involve a re-assessment of the work, or alter any academic judgement made in assessment.</w:t>
      </w:r>
    </w:p>
    <w:p w14:paraId="57C92849"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5B1B64CA"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IE"/>
        </w:rPr>
      </w:pPr>
      <w:r w:rsidRPr="00C344FF">
        <w:rPr>
          <w:lang w:val="en-IE"/>
        </w:rPr>
        <w:tab/>
        <w:t>(iii)</w:t>
      </w:r>
      <w:r w:rsidRPr="00C344FF">
        <w:rPr>
          <w:lang w:val="en-IE"/>
        </w:rPr>
        <w:tab/>
        <w:t xml:space="preserve">The outcome of the checking of an examination result shall be communicated in writing by the Head of Department, or his/her nominee, to the </w:t>
      </w:r>
      <w:r w:rsidR="00DC36D7">
        <w:rPr>
          <w:lang w:val="en-IE"/>
        </w:rPr>
        <w:t>Registrar</w:t>
      </w:r>
      <w:r w:rsidRPr="00C344FF">
        <w:rPr>
          <w:lang w:val="en-IE"/>
        </w:rPr>
        <w:t xml:space="preserve"> who shall, if a change in the result is recommended, make the necessary arrangements to have the result amended, and inform the student concerned without delay.</w:t>
      </w:r>
    </w:p>
    <w:p w14:paraId="44F68548"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4063E436" w14:textId="77777777" w:rsidR="00C90274" w:rsidRPr="005B2FC7" w:rsidRDefault="00C90274" w:rsidP="005B2FC7">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lang w:val="en-IE"/>
        </w:rPr>
        <w:t xml:space="preserve">There shall be a </w:t>
      </w:r>
      <w:r w:rsidRPr="00962743">
        <w:rPr>
          <w:b/>
          <w:lang w:val="en-IE"/>
        </w:rPr>
        <w:t>fee</w:t>
      </w:r>
      <w:r w:rsidRPr="00C344FF">
        <w:rPr>
          <w:lang w:val="en-IE"/>
        </w:rPr>
        <w:t xml:space="preserve"> for the checking of an examination result,</w:t>
      </w:r>
      <w:r w:rsidR="00C344FF" w:rsidRPr="00C344FF">
        <w:rPr>
          <w:lang w:val="en-IE"/>
        </w:rPr>
        <w:t xml:space="preserve"> </w:t>
      </w:r>
      <w:r w:rsidRPr="00C344FF">
        <w:rPr>
          <w:lang w:val="en-IE"/>
        </w:rPr>
        <w:t>w</w:t>
      </w:r>
      <w:r w:rsidR="004A78AD" w:rsidRPr="00C344FF">
        <w:rPr>
          <w:lang w:val="en-IE"/>
        </w:rPr>
        <w:t xml:space="preserve">hich will </w:t>
      </w:r>
      <w:r w:rsidR="004A78AD" w:rsidRPr="00962743">
        <w:rPr>
          <w:b/>
          <w:lang w:val="en-IE"/>
        </w:rPr>
        <w:t>be €25.00 per subject</w:t>
      </w:r>
      <w:r w:rsidR="005B2FC7">
        <w:rPr>
          <w:b/>
          <w:lang w:val="en-IE"/>
        </w:rPr>
        <w:t>.</w:t>
      </w:r>
    </w:p>
    <w:p w14:paraId="5336C947"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b/>
          <w:lang w:val="en-IE"/>
        </w:rPr>
        <w:lastRenderedPageBreak/>
        <w:t>3.</w:t>
      </w:r>
      <w:r w:rsidRPr="00C344FF">
        <w:rPr>
          <w:b/>
          <w:lang w:val="en-IE"/>
        </w:rPr>
        <w:tab/>
        <w:t>PROCEDURES FOR APPEAL OF EXAMINATION RESULTS</w:t>
      </w:r>
    </w:p>
    <w:p w14:paraId="77D48494"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p>
    <w:p w14:paraId="2EEF0F2A" w14:textId="77777777" w:rsidR="00C90274" w:rsidRPr="00C344FF" w:rsidRDefault="002C3F9F"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b/>
          <w:lang w:val="en-IE"/>
        </w:rPr>
        <w:tab/>
        <w:t>3.1</w:t>
      </w:r>
      <w:r w:rsidRPr="00C344FF">
        <w:rPr>
          <w:b/>
          <w:lang w:val="en-IE"/>
        </w:rPr>
        <w:tab/>
        <w:t>Grounds</w:t>
      </w:r>
      <w:r w:rsidR="00C90274" w:rsidRPr="00C344FF">
        <w:rPr>
          <w:b/>
          <w:lang w:val="en-IE"/>
        </w:rPr>
        <w:t xml:space="preserve"> for Appeal:</w:t>
      </w:r>
    </w:p>
    <w:p w14:paraId="2425793A"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p>
    <w:p w14:paraId="4CA87E09" w14:textId="77777777" w:rsidR="00C90274"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r w:rsidRPr="00C344FF">
        <w:rPr>
          <w:lang w:val="en-IE"/>
        </w:rPr>
        <w:tab/>
      </w:r>
      <w:r w:rsidRPr="00C344FF">
        <w:rPr>
          <w:lang w:val="en-IE"/>
        </w:rPr>
        <w:tab/>
        <w:t>An appeal of an examination result shall be considered</w:t>
      </w:r>
    </w:p>
    <w:p w14:paraId="76F8028C" w14:textId="77777777" w:rsidR="006A265B" w:rsidRDefault="006A265B"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2386A88D" w14:textId="77777777" w:rsidR="00C90274" w:rsidRPr="00C344FF" w:rsidRDefault="00C90274" w:rsidP="002B6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IE"/>
        </w:rPr>
      </w:pPr>
      <w:r w:rsidRPr="00C344FF">
        <w:rPr>
          <w:lang w:val="en-IE"/>
        </w:rPr>
        <w:tab/>
      </w:r>
      <w:r w:rsidRPr="00C344FF">
        <w:rPr>
          <w:lang w:val="en-IE"/>
        </w:rPr>
        <w:tab/>
        <w:t>(a)</w:t>
      </w:r>
      <w:r w:rsidRPr="00C344FF">
        <w:rPr>
          <w:lang w:val="en-IE"/>
        </w:rPr>
        <w:tab/>
        <w:t>if there is evidence of substantive irregularity in the conduct of</w:t>
      </w:r>
      <w:r w:rsidR="00BF6E40" w:rsidRPr="00C344FF">
        <w:rPr>
          <w:lang w:val="en-IE"/>
        </w:rPr>
        <w:t xml:space="preserve"> </w:t>
      </w:r>
      <w:r w:rsidRPr="00C344FF">
        <w:rPr>
          <w:lang w:val="en-IE"/>
        </w:rPr>
        <w:t>the examination</w:t>
      </w:r>
    </w:p>
    <w:p w14:paraId="7FFCEE14" w14:textId="77777777" w:rsidR="00C90274" w:rsidRPr="00C344FF" w:rsidRDefault="00C90274" w:rsidP="00284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IE"/>
        </w:rPr>
      </w:pPr>
      <w:r w:rsidRPr="00C344FF">
        <w:rPr>
          <w:lang w:val="en-IE"/>
        </w:rPr>
        <w:tab/>
      </w:r>
      <w:r w:rsidRPr="00C344FF">
        <w:rPr>
          <w:lang w:val="en-IE"/>
        </w:rPr>
        <w:tab/>
        <w:t>(</w:t>
      </w:r>
      <w:r w:rsidR="002B65DE">
        <w:rPr>
          <w:lang w:val="en-IE"/>
        </w:rPr>
        <w:t>b</w:t>
      </w:r>
      <w:r w:rsidRPr="00C344FF">
        <w:rPr>
          <w:lang w:val="en-IE"/>
        </w:rPr>
        <w:t>)</w:t>
      </w:r>
      <w:r w:rsidRPr="00C344FF">
        <w:rPr>
          <w:lang w:val="en-IE"/>
        </w:rPr>
        <w:tab/>
        <w:t xml:space="preserve">if there are circumstances which the </w:t>
      </w:r>
      <w:r w:rsidR="00EE3F24" w:rsidRPr="00C344FF">
        <w:rPr>
          <w:lang w:val="en-IE"/>
        </w:rPr>
        <w:t xml:space="preserve">Programme </w:t>
      </w:r>
      <w:r w:rsidR="00BF6E40" w:rsidRPr="00C344FF">
        <w:rPr>
          <w:lang w:val="en-IE"/>
        </w:rPr>
        <w:t xml:space="preserve">Examination Board </w:t>
      </w:r>
      <w:r w:rsidRPr="00C344FF">
        <w:rPr>
          <w:lang w:val="en-IE"/>
        </w:rPr>
        <w:t>was not</w:t>
      </w:r>
      <w:r w:rsidR="0028429E" w:rsidRPr="00C344FF">
        <w:rPr>
          <w:lang w:val="en-IE"/>
        </w:rPr>
        <w:t xml:space="preserve"> </w:t>
      </w:r>
      <w:r w:rsidRPr="00C344FF">
        <w:rPr>
          <w:lang w:val="en-IE"/>
        </w:rPr>
        <w:t>aware of when its decision was taken.</w:t>
      </w:r>
    </w:p>
    <w:p w14:paraId="254672B3"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p>
    <w:p w14:paraId="1AAAF334" w14:textId="77777777" w:rsidR="003B5942" w:rsidRDefault="003B5942"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b/>
          <w:lang w:val="en-IE"/>
        </w:rPr>
        <w:tab/>
      </w:r>
      <w:r w:rsidRPr="00C344FF">
        <w:rPr>
          <w:b/>
          <w:lang w:val="en-IE"/>
        </w:rPr>
        <w:tab/>
        <w:t>Please note:</w:t>
      </w:r>
    </w:p>
    <w:p w14:paraId="2B40D1E2" w14:textId="77777777" w:rsidR="006A265B" w:rsidRPr="00C344FF" w:rsidRDefault="006A265B"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p>
    <w:p w14:paraId="70C08338" w14:textId="38D33900" w:rsidR="002B65DE" w:rsidRDefault="003B5942" w:rsidP="00BF6E4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r w:rsidRPr="00C344FF">
        <w:rPr>
          <w:lang w:val="en-IE"/>
        </w:rPr>
        <w:t xml:space="preserve">Students who are appealing </w:t>
      </w:r>
      <w:proofErr w:type="spellStart"/>
      <w:r w:rsidRPr="00C344FF">
        <w:rPr>
          <w:lang w:val="en-IE"/>
        </w:rPr>
        <w:t>under ground</w:t>
      </w:r>
      <w:proofErr w:type="spellEnd"/>
      <w:r w:rsidRPr="00C344FF">
        <w:rPr>
          <w:lang w:val="en-IE"/>
        </w:rPr>
        <w:t xml:space="preserve"> 3</w:t>
      </w:r>
      <w:r w:rsidR="007D590E">
        <w:rPr>
          <w:lang w:val="en-IE"/>
        </w:rPr>
        <w:t xml:space="preserve">.1 </w:t>
      </w:r>
      <w:r w:rsidRPr="00C344FF">
        <w:rPr>
          <w:lang w:val="en-IE"/>
        </w:rPr>
        <w:t>(</w:t>
      </w:r>
      <w:r w:rsidR="002B65DE">
        <w:rPr>
          <w:lang w:val="en-IE"/>
        </w:rPr>
        <w:t>b</w:t>
      </w:r>
      <w:r w:rsidRPr="00C344FF">
        <w:rPr>
          <w:lang w:val="en-IE"/>
        </w:rPr>
        <w:t>) above must outline the steps taken to notify the Department concerned of the circumstances relevant to their appeal, and the response to any such notification.  If no steps were taken in this regard, please explain why this was the case</w:t>
      </w:r>
      <w:r w:rsidR="002B65DE">
        <w:rPr>
          <w:lang w:val="en-IE"/>
        </w:rPr>
        <w:t>.</w:t>
      </w:r>
    </w:p>
    <w:p w14:paraId="2476FD6C"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03E4D84D"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IE"/>
        </w:rPr>
      </w:pPr>
      <w:r w:rsidRPr="00C344FF">
        <w:rPr>
          <w:b/>
          <w:lang w:val="en-IE"/>
        </w:rPr>
        <w:tab/>
        <w:t>3.2</w:t>
      </w:r>
      <w:r w:rsidRPr="00C344FF">
        <w:rPr>
          <w:b/>
          <w:lang w:val="en-IE"/>
        </w:rPr>
        <w:tab/>
        <w:t>Appeal Procedures</w:t>
      </w:r>
    </w:p>
    <w:p w14:paraId="7D4AC10F"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37DD5A68"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IE"/>
        </w:rPr>
      </w:pPr>
      <w:r w:rsidRPr="00C344FF">
        <w:rPr>
          <w:lang w:val="en-IE"/>
        </w:rPr>
        <w:tab/>
      </w:r>
      <w:r w:rsidRPr="00C344FF">
        <w:rPr>
          <w:lang w:val="en-IE"/>
        </w:rPr>
        <w:tab/>
        <w:t>(</w:t>
      </w:r>
      <w:proofErr w:type="spellStart"/>
      <w:r w:rsidRPr="00C344FF">
        <w:rPr>
          <w:lang w:val="en-IE"/>
        </w:rPr>
        <w:t>i</w:t>
      </w:r>
      <w:proofErr w:type="spellEnd"/>
      <w:r w:rsidRPr="00C344FF">
        <w:rPr>
          <w:lang w:val="en-IE"/>
        </w:rPr>
        <w:t>)</w:t>
      </w:r>
      <w:r w:rsidRPr="00C344FF">
        <w:rPr>
          <w:lang w:val="en-IE"/>
        </w:rPr>
        <w:tab/>
        <w:t xml:space="preserve">A student who wishes to appeal an examination result must do so in writing, setting out the grounds for the appeal in full to the </w:t>
      </w:r>
      <w:r w:rsidR="00DC36D7">
        <w:rPr>
          <w:lang w:val="en-IE"/>
        </w:rPr>
        <w:t>Registrar</w:t>
      </w:r>
      <w:r w:rsidRPr="00C344FF">
        <w:rPr>
          <w:lang w:val="en-IE"/>
        </w:rPr>
        <w:t xml:space="preserve">, within </w:t>
      </w:r>
      <w:r w:rsidR="00F80E61" w:rsidRPr="00C344FF">
        <w:rPr>
          <w:b/>
          <w:bCs/>
          <w:lang w:val="en-IE"/>
        </w:rPr>
        <w:t>three</w:t>
      </w:r>
      <w:r w:rsidRPr="00C344FF">
        <w:rPr>
          <w:b/>
          <w:bCs/>
          <w:lang w:val="en-IE"/>
        </w:rPr>
        <w:t xml:space="preserve"> weeks</w:t>
      </w:r>
      <w:r w:rsidR="00FE6CA8" w:rsidRPr="00C344FF">
        <w:rPr>
          <w:lang w:val="en-IE"/>
        </w:rPr>
        <w:t xml:space="preserve"> of the publication</w:t>
      </w:r>
      <w:r w:rsidRPr="00C344FF">
        <w:rPr>
          <w:lang w:val="en-IE"/>
        </w:rPr>
        <w:t xml:space="preserve"> of the examination results.  </w:t>
      </w:r>
      <w:r w:rsidR="00CB2CBA">
        <w:rPr>
          <w:lang w:val="en-IE"/>
        </w:rPr>
        <w:t xml:space="preserve">A completed Examination Appeal Form, available on the Registry website, must also be submitted along with the detailed statement. </w:t>
      </w:r>
    </w:p>
    <w:p w14:paraId="41E2084B" w14:textId="77777777" w:rsidR="00C90274" w:rsidRPr="00962743" w:rsidRDefault="00C90274" w:rsidP="00BF6E40">
      <w:pPr>
        <w:pStyle w:val="BlockText"/>
        <w:tabs>
          <w:tab w:val="clear" w:pos="7920"/>
        </w:tabs>
        <w:ind w:right="0"/>
        <w:rPr>
          <w:b/>
          <w:lang w:val="en-IE"/>
        </w:rPr>
      </w:pPr>
      <w:r w:rsidRPr="00C344FF">
        <w:rPr>
          <w:lang w:val="en-IE"/>
        </w:rPr>
        <w:t xml:space="preserve">There shall be a fee for an examination appeal, which will be </w:t>
      </w:r>
      <w:r w:rsidRPr="00CB2CBA">
        <w:rPr>
          <w:b/>
          <w:lang w:val="en-IE"/>
        </w:rPr>
        <w:t xml:space="preserve">€60.00 </w:t>
      </w:r>
      <w:r w:rsidRPr="00962743">
        <w:rPr>
          <w:b/>
          <w:lang w:val="en-IE"/>
        </w:rPr>
        <w:t xml:space="preserve">per subject.  </w:t>
      </w:r>
    </w:p>
    <w:p w14:paraId="17650E26"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1ADC86AC" w14:textId="77777777" w:rsidR="00C90274"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IE"/>
        </w:rPr>
      </w:pPr>
      <w:r w:rsidRPr="00C344FF">
        <w:rPr>
          <w:lang w:val="en-IE"/>
        </w:rPr>
        <w:tab/>
      </w:r>
      <w:r w:rsidRPr="00C344FF">
        <w:rPr>
          <w:lang w:val="en-IE"/>
        </w:rPr>
        <w:tab/>
        <w:t>(ii)</w:t>
      </w:r>
      <w:r w:rsidRPr="00C344FF">
        <w:rPr>
          <w:lang w:val="en-IE"/>
        </w:rPr>
        <w:tab/>
        <w:t xml:space="preserve">Upon receipt of a written appeal, the </w:t>
      </w:r>
      <w:r w:rsidR="00DC36D7">
        <w:rPr>
          <w:lang w:val="en-IE"/>
        </w:rPr>
        <w:t xml:space="preserve">Registrar </w:t>
      </w:r>
      <w:r w:rsidRPr="00C344FF">
        <w:rPr>
          <w:lang w:val="en-IE"/>
        </w:rPr>
        <w:t xml:space="preserve">shall refer </w:t>
      </w:r>
      <w:r w:rsidR="00B926DB" w:rsidRPr="00C344FF">
        <w:rPr>
          <w:lang w:val="en-IE"/>
        </w:rPr>
        <w:t>t</w:t>
      </w:r>
      <w:r w:rsidR="00107968" w:rsidRPr="00C344FF">
        <w:rPr>
          <w:lang w:val="en-IE"/>
        </w:rPr>
        <w:t xml:space="preserve">he </w:t>
      </w:r>
      <w:r w:rsidRPr="00C344FF">
        <w:rPr>
          <w:lang w:val="en-IE"/>
        </w:rPr>
        <w:t>matter to the Examination Appeals Board, and shall inform the relevant Head(s) of Department(s) that an appeal has been lodged.</w:t>
      </w:r>
    </w:p>
    <w:p w14:paraId="1927372C"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p>
    <w:p w14:paraId="107C5FCA"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lang w:val="en-IE"/>
        </w:rPr>
      </w:pPr>
      <w:r w:rsidRPr="00C344FF">
        <w:rPr>
          <w:lang w:val="en-IE"/>
        </w:rPr>
        <w:tab/>
      </w:r>
      <w:r w:rsidRPr="00C344FF">
        <w:rPr>
          <w:lang w:val="en-IE"/>
        </w:rPr>
        <w:tab/>
        <w:t>(iii)</w:t>
      </w:r>
      <w:r w:rsidRPr="00C344FF">
        <w:rPr>
          <w:lang w:val="en-IE"/>
        </w:rPr>
        <w:tab/>
        <w:t>Pending the outcome of an appeal, students should be advised as follows:</w:t>
      </w:r>
    </w:p>
    <w:p w14:paraId="0E7382D5"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IE"/>
        </w:rPr>
      </w:pPr>
      <w:r w:rsidRPr="00C344FF">
        <w:rPr>
          <w:lang w:val="en-IE"/>
        </w:rPr>
        <w:tab/>
      </w:r>
      <w:r w:rsidRPr="00C344FF">
        <w:rPr>
          <w:lang w:val="en-IE"/>
        </w:rPr>
        <w:tab/>
      </w:r>
      <w:r w:rsidRPr="00C344FF">
        <w:rPr>
          <w:lang w:val="en-IE"/>
        </w:rPr>
        <w:tab/>
        <w:t>(a)</w:t>
      </w:r>
      <w:r w:rsidRPr="00C344FF">
        <w:rPr>
          <w:lang w:val="en-IE"/>
        </w:rPr>
        <w:tab/>
        <w:t>An appeal may not necessarily be successful.</w:t>
      </w:r>
    </w:p>
    <w:p w14:paraId="006ECC92" w14:textId="77777777" w:rsidR="00C90274" w:rsidRPr="00C344FF"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lang w:val="en-IE"/>
        </w:rPr>
      </w:pPr>
      <w:r w:rsidRPr="00C344FF">
        <w:rPr>
          <w:lang w:val="en-IE"/>
        </w:rPr>
        <w:tab/>
      </w:r>
      <w:r w:rsidRPr="00C344FF">
        <w:rPr>
          <w:lang w:val="en-IE"/>
        </w:rPr>
        <w:tab/>
      </w:r>
      <w:r w:rsidRPr="00C344FF">
        <w:rPr>
          <w:lang w:val="en-IE"/>
        </w:rPr>
        <w:tab/>
        <w:t>(b)</w:t>
      </w:r>
      <w:r w:rsidRPr="00C344FF">
        <w:rPr>
          <w:lang w:val="en-IE"/>
        </w:rPr>
        <w:tab/>
        <w:t>Students should avail themselves of any opportunity to</w:t>
      </w:r>
      <w:r w:rsidR="00BF6E40" w:rsidRPr="00C344FF">
        <w:rPr>
          <w:lang w:val="en-IE"/>
        </w:rPr>
        <w:t xml:space="preserve"> </w:t>
      </w:r>
      <w:r w:rsidRPr="00C344FF">
        <w:rPr>
          <w:lang w:val="en-IE"/>
        </w:rPr>
        <w:t xml:space="preserve">re-present for examination, on the understanding that a </w:t>
      </w:r>
      <w:r w:rsidR="00EC43D4" w:rsidRPr="00C344FF">
        <w:rPr>
          <w:lang w:val="en-IE"/>
        </w:rPr>
        <w:t>re-sitting of an e</w:t>
      </w:r>
      <w:r w:rsidRPr="00C344FF">
        <w:rPr>
          <w:lang w:val="en-IE"/>
        </w:rPr>
        <w:t>xamination will not prejudice their</w:t>
      </w:r>
      <w:r w:rsidR="00EC43D4" w:rsidRPr="00C344FF">
        <w:rPr>
          <w:lang w:val="en-IE"/>
        </w:rPr>
        <w:t xml:space="preserve"> appeal in any way.  </w:t>
      </w:r>
    </w:p>
    <w:p w14:paraId="35AAB071" w14:textId="77777777" w:rsidR="00B926DB" w:rsidRDefault="00C90274"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lang w:val="en-IE"/>
        </w:rPr>
      </w:pPr>
      <w:r w:rsidRPr="00C344FF">
        <w:rPr>
          <w:lang w:val="en-IE"/>
        </w:rPr>
        <w:tab/>
      </w:r>
      <w:r w:rsidRPr="00C344FF">
        <w:rPr>
          <w:lang w:val="en-IE"/>
        </w:rPr>
        <w:tab/>
      </w:r>
      <w:r w:rsidRPr="00C344FF">
        <w:rPr>
          <w:lang w:val="en-IE"/>
        </w:rPr>
        <w:tab/>
        <w:t>(c)</w:t>
      </w:r>
      <w:r w:rsidRPr="00C344FF">
        <w:rPr>
          <w:lang w:val="en-IE"/>
        </w:rPr>
        <w:tab/>
        <w:t>The conferring of a degree, where relevant, may be deferred, pending the final outcome of the appeal.</w:t>
      </w:r>
    </w:p>
    <w:p w14:paraId="703FA9C1" w14:textId="77777777" w:rsidR="00962743" w:rsidRDefault="00962743"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lang w:val="en-IE"/>
        </w:rPr>
      </w:pPr>
    </w:p>
    <w:p w14:paraId="55603A16" w14:textId="77777777" w:rsidR="00962743" w:rsidRPr="00C344FF" w:rsidRDefault="00962743" w:rsidP="00BF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lang w:val="en-IE"/>
        </w:rPr>
      </w:pPr>
    </w:p>
    <w:p w14:paraId="67A14A43" w14:textId="77777777" w:rsidR="00C344FF" w:rsidRPr="00C344FF" w:rsidRDefault="00C344FF" w:rsidP="001E4C19">
      <w:pPr>
        <w:spacing w:line="240" w:lineRule="auto"/>
        <w:rPr>
          <w:lang w:val="en-IE"/>
        </w:rPr>
      </w:pPr>
    </w:p>
    <w:p w14:paraId="31AAD83D" w14:textId="77777777" w:rsidR="00F266FD" w:rsidRPr="00C344FF" w:rsidRDefault="00F266FD" w:rsidP="00BF6E40">
      <w:pPr>
        <w:tabs>
          <w:tab w:val="left" w:pos="720"/>
        </w:tabs>
        <w:ind w:left="709"/>
        <w:rPr>
          <w:b/>
          <w:bCs/>
          <w:szCs w:val="24"/>
          <w:lang w:val="en-IE"/>
        </w:rPr>
      </w:pPr>
      <w:r w:rsidRPr="00C344FF">
        <w:rPr>
          <w:b/>
          <w:bCs/>
          <w:szCs w:val="24"/>
          <w:lang w:val="en-IE"/>
        </w:rPr>
        <w:t xml:space="preserve">3.3 </w:t>
      </w:r>
      <w:r w:rsidRPr="00C344FF">
        <w:rPr>
          <w:b/>
          <w:bCs/>
          <w:szCs w:val="24"/>
          <w:lang w:val="en-IE"/>
        </w:rPr>
        <w:tab/>
        <w:t>Examination Appeals Board</w:t>
      </w:r>
    </w:p>
    <w:p w14:paraId="02366538" w14:textId="77777777" w:rsidR="00F266FD" w:rsidRPr="00C344FF" w:rsidRDefault="00F266FD" w:rsidP="00BF6E40">
      <w:pPr>
        <w:tabs>
          <w:tab w:val="left" w:pos="1276"/>
        </w:tabs>
        <w:spacing w:line="240" w:lineRule="auto"/>
        <w:ind w:left="709"/>
        <w:rPr>
          <w:b/>
          <w:bCs/>
          <w:szCs w:val="24"/>
          <w:lang w:val="en-IE"/>
        </w:rPr>
      </w:pPr>
    </w:p>
    <w:p w14:paraId="7BD5CCA3" w14:textId="77777777" w:rsidR="00F266FD" w:rsidRPr="00C344FF" w:rsidRDefault="00F266FD" w:rsidP="00BF6E40">
      <w:pPr>
        <w:numPr>
          <w:ilvl w:val="0"/>
          <w:numId w:val="5"/>
        </w:numPr>
        <w:tabs>
          <w:tab w:val="left" w:pos="1276"/>
          <w:tab w:val="left" w:pos="1560"/>
          <w:tab w:val="left" w:pos="2127"/>
        </w:tabs>
        <w:spacing w:line="240" w:lineRule="auto"/>
        <w:ind w:left="2127" w:hanging="567"/>
        <w:rPr>
          <w:bCs/>
          <w:szCs w:val="24"/>
          <w:lang w:val="en-IE"/>
        </w:rPr>
      </w:pPr>
      <w:r w:rsidRPr="00C344FF">
        <w:rPr>
          <w:bCs/>
          <w:szCs w:val="24"/>
          <w:lang w:val="en-IE"/>
        </w:rPr>
        <w:t xml:space="preserve">The Academic Council shall appoint five members to the Examination Appeals Board. Four of the members shall be members of the Academic Council, appointed by the Academic Council, one of whom shall be appointed Chairperson. The fifth member shall be a person from outside the University, preferably a practising lawyer. The </w:t>
      </w:r>
      <w:r w:rsidR="00DC36D7">
        <w:rPr>
          <w:bCs/>
          <w:szCs w:val="24"/>
          <w:lang w:val="en-IE"/>
        </w:rPr>
        <w:t>Registrar</w:t>
      </w:r>
      <w:r w:rsidRPr="00C344FF">
        <w:rPr>
          <w:bCs/>
          <w:szCs w:val="24"/>
          <w:lang w:val="en-IE"/>
        </w:rPr>
        <w:t xml:space="preserve"> shall not be a member of the Board. </w:t>
      </w:r>
    </w:p>
    <w:p w14:paraId="54188B5E" w14:textId="77777777" w:rsidR="00F266FD" w:rsidRPr="00C344FF" w:rsidRDefault="00F266FD" w:rsidP="00BF6E40">
      <w:pPr>
        <w:tabs>
          <w:tab w:val="left" w:pos="1276"/>
          <w:tab w:val="left" w:pos="1418"/>
        </w:tabs>
        <w:spacing w:line="240" w:lineRule="auto"/>
        <w:ind w:left="1429" w:hanging="11"/>
        <w:rPr>
          <w:bCs/>
          <w:szCs w:val="24"/>
          <w:lang w:val="en-IE"/>
        </w:rPr>
      </w:pPr>
    </w:p>
    <w:p w14:paraId="4CA7732F" w14:textId="77777777" w:rsidR="00F266FD" w:rsidRPr="00C344FF" w:rsidRDefault="00F266FD" w:rsidP="00BF6E40">
      <w:pPr>
        <w:numPr>
          <w:ilvl w:val="0"/>
          <w:numId w:val="5"/>
        </w:numPr>
        <w:tabs>
          <w:tab w:val="left" w:pos="1276"/>
        </w:tabs>
        <w:spacing w:line="240" w:lineRule="auto"/>
        <w:ind w:left="2127" w:hanging="567"/>
        <w:rPr>
          <w:bCs/>
          <w:szCs w:val="24"/>
          <w:lang w:val="en-IE"/>
        </w:rPr>
      </w:pPr>
      <w:r w:rsidRPr="00C344FF">
        <w:rPr>
          <w:bCs/>
          <w:szCs w:val="24"/>
          <w:lang w:val="en-IE"/>
        </w:rPr>
        <w:t>The Academic Council shall appoint four of its members to be alternate members of the Examination Appeals Board. One or more of the alternate members shall deputise in the event of the unavoidable absence of one or more, respectively, of the members of the Board or in the event of the involvement of one or more of the members in the appeal being considered. The President of the University may, on the request of the Chairperson of the Board, appoint additional alternate members provided that such appointments shall lapse unless ratified by the next meeting of the Academic Council.</w:t>
      </w:r>
    </w:p>
    <w:p w14:paraId="4EFAAA57" w14:textId="77777777" w:rsidR="00F266FD" w:rsidRPr="00C344FF" w:rsidRDefault="00F266FD" w:rsidP="00BF6E40">
      <w:pPr>
        <w:tabs>
          <w:tab w:val="left" w:pos="1276"/>
          <w:tab w:val="left" w:pos="1418"/>
        </w:tabs>
        <w:spacing w:line="240" w:lineRule="auto"/>
        <w:ind w:hanging="11"/>
        <w:rPr>
          <w:bCs/>
          <w:szCs w:val="24"/>
          <w:lang w:val="en-IE"/>
        </w:rPr>
      </w:pPr>
    </w:p>
    <w:p w14:paraId="0165A466" w14:textId="77777777" w:rsidR="00F266FD" w:rsidRPr="00C344FF" w:rsidRDefault="00F266FD" w:rsidP="00BF6E40">
      <w:pPr>
        <w:numPr>
          <w:ilvl w:val="0"/>
          <w:numId w:val="5"/>
        </w:numPr>
        <w:tabs>
          <w:tab w:val="left" w:pos="1418"/>
          <w:tab w:val="left" w:pos="2127"/>
        </w:tabs>
        <w:spacing w:line="240" w:lineRule="auto"/>
        <w:ind w:left="2127" w:hanging="567"/>
        <w:rPr>
          <w:bCs/>
          <w:szCs w:val="24"/>
          <w:lang w:val="en-IE"/>
        </w:rPr>
      </w:pPr>
      <w:r w:rsidRPr="00C344FF">
        <w:rPr>
          <w:bCs/>
          <w:szCs w:val="24"/>
          <w:lang w:val="en-IE"/>
        </w:rPr>
        <w:t xml:space="preserve">In addition, each of the Faculties will each elect one representative and one alternate representative, who will sit on the Examinations Appeals Board as full members. It will be expected, but not a necessary condition for reaching a quorum, that at least one representative from each Faculty will attend every Board meeting. Elections at Faculty will take place in the Faculty meetings preceding the meeting of Academic Council at which a new Board is appointed. </w:t>
      </w:r>
    </w:p>
    <w:p w14:paraId="336099E6" w14:textId="77777777" w:rsidR="00F266FD" w:rsidRPr="00C344FF" w:rsidRDefault="00F266FD" w:rsidP="00BF6E40">
      <w:pPr>
        <w:tabs>
          <w:tab w:val="left" w:pos="1276"/>
          <w:tab w:val="left" w:pos="1418"/>
        </w:tabs>
        <w:spacing w:line="240" w:lineRule="auto"/>
        <w:ind w:left="1429" w:hanging="11"/>
        <w:rPr>
          <w:bCs/>
          <w:szCs w:val="24"/>
          <w:lang w:val="en-IE"/>
        </w:rPr>
      </w:pPr>
    </w:p>
    <w:p w14:paraId="1BFCD2EB" w14:textId="77777777" w:rsidR="00F266FD" w:rsidRPr="00C344FF" w:rsidRDefault="00F266FD" w:rsidP="00BF6E40">
      <w:pPr>
        <w:numPr>
          <w:ilvl w:val="0"/>
          <w:numId w:val="4"/>
        </w:numPr>
        <w:tabs>
          <w:tab w:val="left" w:pos="1276"/>
          <w:tab w:val="left" w:pos="1418"/>
        </w:tabs>
        <w:spacing w:line="240" w:lineRule="auto"/>
        <w:ind w:left="1418" w:firstLine="142"/>
        <w:rPr>
          <w:bCs/>
          <w:szCs w:val="24"/>
          <w:lang w:val="en-IE"/>
        </w:rPr>
      </w:pPr>
      <w:r w:rsidRPr="00C344FF">
        <w:rPr>
          <w:bCs/>
          <w:szCs w:val="24"/>
          <w:lang w:val="en-IE"/>
        </w:rPr>
        <w:t>The quorum for any meeting of the Board shall be four members.</w:t>
      </w:r>
    </w:p>
    <w:p w14:paraId="4D342F7D" w14:textId="77777777" w:rsidR="00F266FD" w:rsidRPr="00C344FF" w:rsidRDefault="00F266FD" w:rsidP="00BF6E40">
      <w:pPr>
        <w:tabs>
          <w:tab w:val="left" w:pos="1276"/>
          <w:tab w:val="left" w:pos="1418"/>
        </w:tabs>
        <w:spacing w:line="240" w:lineRule="auto"/>
        <w:ind w:left="1080" w:hanging="11"/>
        <w:rPr>
          <w:bCs/>
          <w:szCs w:val="24"/>
          <w:lang w:val="en-IE"/>
        </w:rPr>
      </w:pPr>
    </w:p>
    <w:p w14:paraId="660EB3C0" w14:textId="77777777" w:rsidR="00F266FD" w:rsidRPr="00C344FF" w:rsidRDefault="00F266FD" w:rsidP="00BF6E40">
      <w:pPr>
        <w:pStyle w:val="ListParagraph"/>
        <w:numPr>
          <w:ilvl w:val="0"/>
          <w:numId w:val="4"/>
        </w:numPr>
        <w:tabs>
          <w:tab w:val="left" w:pos="1276"/>
        </w:tabs>
        <w:spacing w:line="240" w:lineRule="auto"/>
        <w:ind w:left="2127" w:hanging="567"/>
        <w:rPr>
          <w:rFonts w:ascii="Times New Roman" w:hAnsi="Times New Roman"/>
          <w:bCs/>
          <w:sz w:val="24"/>
          <w:szCs w:val="24"/>
        </w:rPr>
      </w:pPr>
      <w:r w:rsidRPr="00C344FF">
        <w:rPr>
          <w:rFonts w:ascii="Times New Roman" w:hAnsi="Times New Roman"/>
          <w:bCs/>
          <w:sz w:val="24"/>
          <w:szCs w:val="24"/>
        </w:rPr>
        <w:t>The Examination Appeals Board shall consider the appeal on the grounds on which it is based, and shall, as appropriate, consult with the internal and external examiner(s). The Examination Appeals Board shall determine the appeal by giving a decision. The Chairperson of the Board shall inform the appellant of the outcome of his/her appeal. The Examination Appeals Board shall inform the Academic Council regarding the outcome of the appeal.</w:t>
      </w:r>
    </w:p>
    <w:p w14:paraId="5D12AD1B" w14:textId="77777777" w:rsidR="00F266FD" w:rsidRPr="00C344FF" w:rsidRDefault="00F266FD" w:rsidP="00BF6E40">
      <w:pPr>
        <w:tabs>
          <w:tab w:val="left" w:pos="1418"/>
        </w:tabs>
        <w:ind w:left="1418" w:hanging="11"/>
        <w:rPr>
          <w:bCs/>
          <w:szCs w:val="24"/>
          <w:lang w:val="en-IE"/>
        </w:rPr>
      </w:pPr>
    </w:p>
    <w:p w14:paraId="3087D547" w14:textId="77777777" w:rsidR="007D7C70" w:rsidRPr="00C344FF" w:rsidRDefault="007D7C70" w:rsidP="00BF6E40">
      <w:pPr>
        <w:tabs>
          <w:tab w:val="left" w:pos="1418"/>
        </w:tabs>
        <w:ind w:left="1418" w:hanging="11"/>
        <w:rPr>
          <w:bCs/>
          <w:szCs w:val="24"/>
          <w:lang w:val="en-IE"/>
        </w:rPr>
      </w:pPr>
    </w:p>
    <w:p w14:paraId="660DD0EB" w14:textId="77777777" w:rsidR="007D7C70" w:rsidRPr="00C344FF" w:rsidRDefault="007D7C70" w:rsidP="00BF6E40">
      <w:pPr>
        <w:tabs>
          <w:tab w:val="left" w:pos="1418"/>
        </w:tabs>
        <w:ind w:left="1418" w:hanging="11"/>
        <w:rPr>
          <w:bCs/>
          <w:szCs w:val="24"/>
          <w:lang w:val="en-IE"/>
        </w:rPr>
      </w:pPr>
    </w:p>
    <w:p w14:paraId="3B14B631" w14:textId="77777777" w:rsidR="007D7C70" w:rsidRPr="00C344FF" w:rsidRDefault="007D7C70" w:rsidP="00BF6E40">
      <w:pPr>
        <w:tabs>
          <w:tab w:val="left" w:pos="1418"/>
        </w:tabs>
        <w:ind w:left="1418" w:hanging="11"/>
        <w:rPr>
          <w:bCs/>
          <w:szCs w:val="24"/>
          <w:lang w:val="en-IE"/>
        </w:rPr>
      </w:pPr>
    </w:p>
    <w:sectPr w:rsidR="007D7C70" w:rsidRPr="00C344FF" w:rsidSect="001E4C19">
      <w:headerReference w:type="default" r:id="rId9"/>
      <w:footerReference w:type="even" r:id="rId10"/>
      <w:footerReference w:type="default" r:id="rId11"/>
      <w:endnotePr>
        <w:numFmt w:val="decimal"/>
      </w:endnotePr>
      <w:pgSz w:w="11907" w:h="16839" w:code="9"/>
      <w:pgMar w:top="1440" w:right="1134"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01A6" w14:textId="77777777" w:rsidR="002A27B1" w:rsidRDefault="002A27B1">
      <w:pPr>
        <w:spacing w:line="240" w:lineRule="auto"/>
      </w:pPr>
      <w:r>
        <w:separator/>
      </w:r>
    </w:p>
  </w:endnote>
  <w:endnote w:type="continuationSeparator" w:id="0">
    <w:p w14:paraId="19C54615" w14:textId="77777777" w:rsidR="002A27B1" w:rsidRDefault="002A2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DFD3" w14:textId="77777777" w:rsidR="00C90274" w:rsidRDefault="00C90274">
    <w:pPr>
      <w:pStyle w:val="Footer"/>
      <w:jc w:val="right"/>
      <w:rPr>
        <w:lang w:val="en-GB"/>
      </w:rPr>
    </w:pPr>
    <w:r>
      <w:rPr>
        <w:lang w:val="en-GB"/>
      </w:rPr>
      <w:t>AD. 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B87E" w14:textId="77777777" w:rsidR="00C90274" w:rsidRPr="00B926DB" w:rsidRDefault="00C90274" w:rsidP="00167DB0">
    <w:pPr>
      <w:pStyle w:val="Footer"/>
      <w:jc w:val="right"/>
      <w:rPr>
        <w:i/>
        <w:sz w:val="18"/>
        <w:szCs w:val="18"/>
        <w:lang w:val="en-GB"/>
      </w:rPr>
    </w:pPr>
    <w:r w:rsidRPr="00B926DB">
      <w:rPr>
        <w:i/>
        <w:sz w:val="18"/>
        <w:szCs w:val="18"/>
        <w:lang w:val="en-GB"/>
      </w:rPr>
      <w:t xml:space="preserve"> </w:t>
    </w:r>
    <w:r w:rsidRPr="00B926DB">
      <w:rPr>
        <w:rStyle w:val="PageNumber"/>
        <w:i/>
        <w:sz w:val="18"/>
        <w:szCs w:val="18"/>
      </w:rPr>
      <w:fldChar w:fldCharType="begin"/>
    </w:r>
    <w:r w:rsidRPr="00B926DB">
      <w:rPr>
        <w:rStyle w:val="PageNumber"/>
        <w:i/>
        <w:sz w:val="18"/>
        <w:szCs w:val="18"/>
      </w:rPr>
      <w:instrText xml:space="preserve"> PAGE </w:instrText>
    </w:r>
    <w:r w:rsidRPr="00B926DB">
      <w:rPr>
        <w:rStyle w:val="PageNumber"/>
        <w:i/>
        <w:sz w:val="18"/>
        <w:szCs w:val="18"/>
      </w:rPr>
      <w:fldChar w:fldCharType="separate"/>
    </w:r>
    <w:r w:rsidR="002C4E12">
      <w:rPr>
        <w:rStyle w:val="PageNumber"/>
        <w:i/>
        <w:noProof/>
        <w:sz w:val="18"/>
        <w:szCs w:val="18"/>
      </w:rPr>
      <w:t>2</w:t>
    </w:r>
    <w:r w:rsidRPr="00B926DB">
      <w:rPr>
        <w:rStyle w:val="PageNumber"/>
        <w:i/>
        <w:sz w:val="18"/>
        <w:szCs w:val="18"/>
      </w:rPr>
      <w:fldChar w:fldCharType="end"/>
    </w:r>
    <w:r w:rsidRPr="00B926DB">
      <w:rPr>
        <w:i/>
        <w:sz w:val="18"/>
        <w:szCs w:val="18"/>
        <w:lang w:val="en-GB"/>
      </w:rPr>
      <w:t>/3</w:t>
    </w:r>
  </w:p>
  <w:p w14:paraId="34676276" w14:textId="62068DB9" w:rsidR="00AB22AB" w:rsidRPr="00B926DB" w:rsidRDefault="002C4E12">
    <w:pPr>
      <w:pStyle w:val="Footer"/>
      <w:jc w:val="right"/>
      <w:rPr>
        <w:i/>
        <w:sz w:val="18"/>
        <w:szCs w:val="18"/>
        <w:lang w:val="en-GB"/>
      </w:rPr>
    </w:pPr>
    <w:r>
      <w:rPr>
        <w:i/>
        <w:sz w:val="18"/>
        <w:szCs w:val="18"/>
        <w:lang w:val="en-GB"/>
      </w:rPr>
      <w:t>20</w:t>
    </w:r>
    <w:r w:rsidR="006F29C4">
      <w:rPr>
        <w:i/>
        <w:sz w:val="18"/>
        <w:szCs w:val="18"/>
        <w:lang w:val="en-GB"/>
      </w:rPr>
      <w:t>2</w:t>
    </w:r>
    <w:r w:rsidR="00F46D83">
      <w:rPr>
        <w:i/>
        <w:sz w:val="18"/>
        <w:szCs w:val="18"/>
        <w:lang w:val="en-GB"/>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2338" w14:textId="77777777" w:rsidR="002A27B1" w:rsidRDefault="002A27B1">
      <w:pPr>
        <w:spacing w:line="240" w:lineRule="auto"/>
      </w:pPr>
      <w:r>
        <w:separator/>
      </w:r>
    </w:p>
  </w:footnote>
  <w:footnote w:type="continuationSeparator" w:id="0">
    <w:p w14:paraId="2C7EB24B" w14:textId="77777777" w:rsidR="002A27B1" w:rsidRDefault="002A2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6C02" w14:textId="77777777" w:rsidR="00C90274" w:rsidRDefault="00C90274">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029"/>
    <w:multiLevelType w:val="hybridMultilevel"/>
    <w:tmpl w:val="15DCED9A"/>
    <w:lvl w:ilvl="0" w:tplc="49469892">
      <w:start w:val="4"/>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FC67E73"/>
    <w:multiLevelType w:val="hybridMultilevel"/>
    <w:tmpl w:val="362EEE94"/>
    <w:lvl w:ilvl="0" w:tplc="2EA835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A0C20F2"/>
    <w:multiLevelType w:val="singleLevel"/>
    <w:tmpl w:val="475A93DA"/>
    <w:lvl w:ilvl="0">
      <w:start w:val="4"/>
      <w:numFmt w:val="lowerRoman"/>
      <w:lvlText w:val="(%1)"/>
      <w:lvlJc w:val="left"/>
      <w:pPr>
        <w:tabs>
          <w:tab w:val="num" w:pos="1440"/>
        </w:tabs>
        <w:ind w:left="1440" w:hanging="720"/>
      </w:pPr>
      <w:rPr>
        <w:rFonts w:hint="default"/>
      </w:rPr>
    </w:lvl>
  </w:abstractNum>
  <w:abstractNum w:abstractNumId="3" w15:restartNumberingAfterBreak="0">
    <w:nsid w:val="4A197654"/>
    <w:multiLevelType w:val="hybridMultilevel"/>
    <w:tmpl w:val="C180E7FE"/>
    <w:lvl w:ilvl="0" w:tplc="77D6EB24">
      <w:start w:val="1"/>
      <w:numFmt w:val="bullet"/>
      <w:lvlText w:val=""/>
      <w:lvlJc w:val="left"/>
      <w:pPr>
        <w:tabs>
          <w:tab w:val="num" w:pos="2007"/>
        </w:tabs>
        <w:ind w:left="2007" w:hanging="567"/>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500C173C"/>
    <w:multiLevelType w:val="hybridMultilevel"/>
    <w:tmpl w:val="EDBA8858"/>
    <w:lvl w:ilvl="0" w:tplc="280257A6">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 w15:restartNumberingAfterBreak="0">
    <w:nsid w:val="70C0348E"/>
    <w:multiLevelType w:val="hybridMultilevel"/>
    <w:tmpl w:val="F1CCB09A"/>
    <w:lvl w:ilvl="0" w:tplc="C212A3F8">
      <w:start w:val="1"/>
      <w:numFmt w:val="bullet"/>
      <w:lvlText w:val=""/>
      <w:lvlJc w:val="left"/>
      <w:pPr>
        <w:tabs>
          <w:tab w:val="num" w:pos="3447"/>
        </w:tabs>
        <w:ind w:left="4014" w:hanging="567"/>
      </w:pPr>
      <w:rPr>
        <w:rFonts w:ascii="Wingdings" w:hAnsi="Wingding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num w:numId="1" w16cid:durableId="792669732">
    <w:abstractNumId w:val="2"/>
  </w:num>
  <w:num w:numId="2" w16cid:durableId="174462239">
    <w:abstractNumId w:val="5"/>
  </w:num>
  <w:num w:numId="3" w16cid:durableId="2075347901">
    <w:abstractNumId w:val="3"/>
  </w:num>
  <w:num w:numId="4" w16cid:durableId="975911961">
    <w:abstractNumId w:val="0"/>
  </w:num>
  <w:num w:numId="5" w16cid:durableId="2081294429">
    <w:abstractNumId w:val="4"/>
  </w:num>
  <w:num w:numId="6" w16cid:durableId="336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A8"/>
    <w:rsid w:val="00007F2C"/>
    <w:rsid w:val="00037938"/>
    <w:rsid w:val="00097AE5"/>
    <w:rsid w:val="000C29DF"/>
    <w:rsid w:val="00107968"/>
    <w:rsid w:val="001259BF"/>
    <w:rsid w:val="00135B32"/>
    <w:rsid w:val="001400F1"/>
    <w:rsid w:val="00162442"/>
    <w:rsid w:val="00167DB0"/>
    <w:rsid w:val="00181280"/>
    <w:rsid w:val="00191ED6"/>
    <w:rsid w:val="001C76F2"/>
    <w:rsid w:val="001D2610"/>
    <w:rsid w:val="001E31C5"/>
    <w:rsid w:val="001E4C19"/>
    <w:rsid w:val="001F6EA2"/>
    <w:rsid w:val="002009C4"/>
    <w:rsid w:val="002074F1"/>
    <w:rsid w:val="00207A14"/>
    <w:rsid w:val="002256B1"/>
    <w:rsid w:val="00233B9C"/>
    <w:rsid w:val="002501CB"/>
    <w:rsid w:val="00255E77"/>
    <w:rsid w:val="00262D67"/>
    <w:rsid w:val="0028429E"/>
    <w:rsid w:val="002903CC"/>
    <w:rsid w:val="002A27B1"/>
    <w:rsid w:val="002B65DE"/>
    <w:rsid w:val="002C3F9F"/>
    <w:rsid w:val="002C4E12"/>
    <w:rsid w:val="002F080A"/>
    <w:rsid w:val="00324A3D"/>
    <w:rsid w:val="00351127"/>
    <w:rsid w:val="00365BE5"/>
    <w:rsid w:val="00397690"/>
    <w:rsid w:val="003A598B"/>
    <w:rsid w:val="003B5942"/>
    <w:rsid w:val="003C15DC"/>
    <w:rsid w:val="003D5F99"/>
    <w:rsid w:val="003E06AC"/>
    <w:rsid w:val="0040141F"/>
    <w:rsid w:val="004A78AD"/>
    <w:rsid w:val="004C10A8"/>
    <w:rsid w:val="004D25BE"/>
    <w:rsid w:val="004E057F"/>
    <w:rsid w:val="004E4C5F"/>
    <w:rsid w:val="005100E4"/>
    <w:rsid w:val="005B2FC7"/>
    <w:rsid w:val="005F6B01"/>
    <w:rsid w:val="0061293A"/>
    <w:rsid w:val="006166B3"/>
    <w:rsid w:val="00630F2B"/>
    <w:rsid w:val="00646417"/>
    <w:rsid w:val="006750F7"/>
    <w:rsid w:val="006777EE"/>
    <w:rsid w:val="006A265B"/>
    <w:rsid w:val="006B16A8"/>
    <w:rsid w:val="006F29C4"/>
    <w:rsid w:val="007359C0"/>
    <w:rsid w:val="00744FBC"/>
    <w:rsid w:val="0074691E"/>
    <w:rsid w:val="00786419"/>
    <w:rsid w:val="007A0647"/>
    <w:rsid w:val="007C11D7"/>
    <w:rsid w:val="007D590E"/>
    <w:rsid w:val="007D7C70"/>
    <w:rsid w:val="007E15BE"/>
    <w:rsid w:val="007F75A9"/>
    <w:rsid w:val="008545B7"/>
    <w:rsid w:val="00873385"/>
    <w:rsid w:val="0087455F"/>
    <w:rsid w:val="00893A9E"/>
    <w:rsid w:val="008A341D"/>
    <w:rsid w:val="008C2B60"/>
    <w:rsid w:val="008D6438"/>
    <w:rsid w:val="0091799D"/>
    <w:rsid w:val="00944A5E"/>
    <w:rsid w:val="00962743"/>
    <w:rsid w:val="00966AE4"/>
    <w:rsid w:val="00975C90"/>
    <w:rsid w:val="0098363A"/>
    <w:rsid w:val="00984C5E"/>
    <w:rsid w:val="0099497E"/>
    <w:rsid w:val="009D1768"/>
    <w:rsid w:val="009D6FF7"/>
    <w:rsid w:val="00A23E40"/>
    <w:rsid w:val="00A818E1"/>
    <w:rsid w:val="00AB22AB"/>
    <w:rsid w:val="00AC16C3"/>
    <w:rsid w:val="00AC5BCF"/>
    <w:rsid w:val="00B2350D"/>
    <w:rsid w:val="00B759AF"/>
    <w:rsid w:val="00B926DB"/>
    <w:rsid w:val="00BC65E4"/>
    <w:rsid w:val="00BD1422"/>
    <w:rsid w:val="00BE3906"/>
    <w:rsid w:val="00BF6E40"/>
    <w:rsid w:val="00C101F7"/>
    <w:rsid w:val="00C32957"/>
    <w:rsid w:val="00C344FF"/>
    <w:rsid w:val="00C3553F"/>
    <w:rsid w:val="00C72399"/>
    <w:rsid w:val="00C90274"/>
    <w:rsid w:val="00CB066F"/>
    <w:rsid w:val="00CB2CBA"/>
    <w:rsid w:val="00CD0E44"/>
    <w:rsid w:val="00CD66A8"/>
    <w:rsid w:val="00CE7B98"/>
    <w:rsid w:val="00CF5FBA"/>
    <w:rsid w:val="00D03B0D"/>
    <w:rsid w:val="00D10EC2"/>
    <w:rsid w:val="00D11812"/>
    <w:rsid w:val="00D5534F"/>
    <w:rsid w:val="00DA2CE2"/>
    <w:rsid w:val="00DB3AA6"/>
    <w:rsid w:val="00DC36D7"/>
    <w:rsid w:val="00DD5DCB"/>
    <w:rsid w:val="00DD66EE"/>
    <w:rsid w:val="00DE0211"/>
    <w:rsid w:val="00E41E3D"/>
    <w:rsid w:val="00E92D5F"/>
    <w:rsid w:val="00E96163"/>
    <w:rsid w:val="00EA60F7"/>
    <w:rsid w:val="00EC43D4"/>
    <w:rsid w:val="00EC4EF2"/>
    <w:rsid w:val="00EE3F24"/>
    <w:rsid w:val="00F077B1"/>
    <w:rsid w:val="00F266FD"/>
    <w:rsid w:val="00F303C0"/>
    <w:rsid w:val="00F42217"/>
    <w:rsid w:val="00F4605C"/>
    <w:rsid w:val="00F46D83"/>
    <w:rsid w:val="00F80E61"/>
    <w:rsid w:val="00F85AD0"/>
    <w:rsid w:val="00FA45E4"/>
    <w:rsid w:val="00FB1A5B"/>
    <w:rsid w:val="00FC088A"/>
    <w:rsid w:val="00FC6825"/>
    <w:rsid w:val="00FD3939"/>
    <w:rsid w:val="00FE6CA8"/>
    <w:rsid w:val="00FF6B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8979FDF"/>
  <w15:docId w15:val="{E448E077-0B0A-4D20-B43C-D77B4C33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Times" w:hAnsi="Times"/>
      <w:color w:val="000000"/>
      <w:sz w:val="24"/>
      <w:lang w:val="en-US" w:eastAsia="en-US"/>
    </w:rPr>
  </w:style>
  <w:style w:type="paragraph" w:styleId="Heading2">
    <w:name w:val="heading 2"/>
    <w:basedOn w:val="Normal"/>
    <w:next w:val="Normal"/>
    <w:link w:val="Heading2Char"/>
    <w:uiPriority w:val="9"/>
    <w:semiHidden/>
    <w:unhideWhenUsed/>
    <w:qFormat/>
    <w:rsid w:val="007C11D7"/>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spacing w:line="240" w:lineRule="auto"/>
      <w:jc w:val="center"/>
      <w:outlineLvl w:val="3"/>
    </w:pPr>
    <w:rPr>
      <w:rFonts w:ascii="Bookman Old Style" w:hAnsi="Bookman Old Style"/>
      <w:b/>
      <w:color w:val="auto"/>
      <w:sz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right="-1080"/>
    </w:pPr>
  </w:style>
  <w:style w:type="paragraph" w:styleId="ListParagraph">
    <w:name w:val="List Paragraph"/>
    <w:basedOn w:val="Normal"/>
    <w:uiPriority w:val="34"/>
    <w:qFormat/>
    <w:rsid w:val="00F266FD"/>
    <w:pPr>
      <w:spacing w:after="200" w:line="276" w:lineRule="auto"/>
      <w:ind w:left="720"/>
      <w:contextualSpacing/>
    </w:pPr>
    <w:rPr>
      <w:rFonts w:ascii="Calibri" w:eastAsia="Calibri" w:hAnsi="Calibri"/>
      <w:color w:val="auto"/>
      <w:sz w:val="22"/>
      <w:szCs w:val="22"/>
      <w:lang w:val="en-IE"/>
    </w:rPr>
  </w:style>
  <w:style w:type="paragraph" w:styleId="BalloonText">
    <w:name w:val="Balloon Text"/>
    <w:basedOn w:val="Normal"/>
    <w:link w:val="BalloonTextChar"/>
    <w:uiPriority w:val="99"/>
    <w:semiHidden/>
    <w:unhideWhenUsed/>
    <w:rsid w:val="00191ED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91ED6"/>
    <w:rPr>
      <w:rFonts w:ascii="Tahoma" w:hAnsi="Tahoma" w:cs="Tahoma"/>
      <w:color w:val="000000"/>
      <w:sz w:val="16"/>
      <w:szCs w:val="16"/>
      <w:lang w:val="en-US" w:eastAsia="en-US"/>
    </w:rPr>
  </w:style>
  <w:style w:type="character" w:customStyle="1" w:styleId="Heading2Char">
    <w:name w:val="Heading 2 Char"/>
    <w:link w:val="Heading2"/>
    <w:uiPriority w:val="9"/>
    <w:semiHidden/>
    <w:rsid w:val="007C11D7"/>
    <w:rPr>
      <w:rFonts w:ascii="Cambria" w:eastAsia="Times New Roman" w:hAnsi="Cambria" w:cs="Times New Roman"/>
      <w:b/>
      <w:bCs/>
      <w:i/>
      <w:iCs/>
      <w:color w:val="000000"/>
      <w:sz w:val="28"/>
      <w:szCs w:val="28"/>
      <w:lang w:val="en-US" w:eastAsia="en-US"/>
    </w:rPr>
  </w:style>
  <w:style w:type="paragraph" w:styleId="NoSpacing">
    <w:name w:val="No Spacing"/>
    <w:uiPriority w:val="1"/>
    <w:qFormat/>
    <w:rsid w:val="00EC43D4"/>
    <w:rPr>
      <w:rFonts w:ascii="Goudy Old Style" w:eastAsia="Calibri" w:hAnsi="Goudy Old Style"/>
      <w:sz w:val="24"/>
      <w:szCs w:val="22"/>
      <w:lang w:eastAsia="en-US"/>
    </w:rPr>
  </w:style>
  <w:style w:type="character" w:styleId="Hyperlink">
    <w:name w:val="Hyperlink"/>
    <w:basedOn w:val="DefaultParagraphFont"/>
    <w:uiPriority w:val="99"/>
    <w:unhideWhenUsed/>
    <w:rsid w:val="00F85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8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BFF8-0656-44E2-8287-8A77FC28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Registrar's Office</dc:creator>
  <cp:lastModifiedBy>Joan Galvin</cp:lastModifiedBy>
  <cp:revision>5</cp:revision>
  <cp:lastPrinted>2019-04-30T14:11:00Z</cp:lastPrinted>
  <dcterms:created xsi:type="dcterms:W3CDTF">2022-05-03T13:36:00Z</dcterms:created>
  <dcterms:modified xsi:type="dcterms:W3CDTF">2022-05-10T14:11:00Z</dcterms:modified>
</cp:coreProperties>
</file>