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42" w:rsidRPr="00401442" w:rsidRDefault="00401442" w:rsidP="00401442">
      <w:pPr>
        <w:rPr>
          <w:b/>
          <w:lang w:val="en-IE"/>
        </w:rPr>
      </w:pPr>
      <w:r w:rsidRPr="00401442">
        <w:rPr>
          <w:b/>
          <w:lang w:val="en-IE"/>
        </w:rPr>
        <w:t>ABSTRACT</w:t>
      </w:r>
    </w:p>
    <w:p w:rsidR="00401442" w:rsidRDefault="00401442" w:rsidP="00401442">
      <w:pPr>
        <w:rPr>
          <w:color w:val="1F497D"/>
          <w:lang w:val="en-GB"/>
        </w:rPr>
      </w:pPr>
      <w:r>
        <w:rPr>
          <w:lang w:val="en-IE"/>
        </w:rPr>
        <w:t>Under a jointly assessed system of income tax, the marginal rate faced by individuals in a couple depends on their combined income. As a result, the lower earner in a couple - typically a woman - can face the higher marginal rates imposed by a progressive tax schedule from even low levels of earnings. This paper considers how such a system of taxation affects the careers of women. I first adopt a differences-in-differences approach, exploiting the UK's abolition of joint taxation in 1990. Estimates suggest that absent the reform, employment rates for married women would have been 4-6% lower. However, income taxes also affect the incentives to invest in education, accumulate human capital and take time out from the labour market. To investigate these longer-run responses, and to unpack the mechanisms underlying them, I develop (and estimate the parameters of) a dynamic lifecycle model capturing women's education, employment, fertility and savings decisions. Simulations from this suggest that moving away from a progressive income tax schedule applied to couples' joint income can increase the employment and earnings of women in the long-run, and result in women choosing to have children later in life.</w:t>
      </w:r>
    </w:p>
    <w:p w:rsidR="005526F0" w:rsidRDefault="005526F0">
      <w:bookmarkStart w:id="0" w:name="_GoBack"/>
      <w:bookmarkEnd w:id="0"/>
    </w:p>
    <w:sectPr w:rsidR="0055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42"/>
    <w:rsid w:val="00401442"/>
    <w:rsid w:val="0055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1754"/>
  <w15:chartTrackingRefBased/>
  <w15:docId w15:val="{12A12029-D4B3-4F91-8FE7-D9ABC123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4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University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Adderley</dc:creator>
  <cp:keywords/>
  <dc:description/>
  <cp:lastModifiedBy>Maire Adderley</cp:lastModifiedBy>
  <cp:revision>1</cp:revision>
  <dcterms:created xsi:type="dcterms:W3CDTF">2018-12-04T14:53:00Z</dcterms:created>
  <dcterms:modified xsi:type="dcterms:W3CDTF">2018-12-04T14:54:00Z</dcterms:modified>
</cp:coreProperties>
</file>