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E4" w:rsidRPr="003A62D9" w:rsidRDefault="00C62B50" w:rsidP="003A62D9">
      <w:pPr>
        <w:autoSpaceDE w:val="0"/>
        <w:autoSpaceDN w:val="0"/>
        <w:adjustRightInd w:val="0"/>
        <w:ind w:right="-284"/>
        <w:jc w:val="center"/>
        <w:rPr>
          <w:rFonts w:ascii="Georgia" w:hAnsi="Georgia"/>
          <w:b/>
          <w:bCs/>
          <w:color w:val="000080"/>
          <w:lang w:val="en-GB"/>
        </w:rPr>
      </w:pPr>
      <w:r>
        <w:rPr>
          <w:rFonts w:ascii="Georgia" w:hAnsi="Georgia"/>
          <w:b/>
          <w:bCs/>
          <w:color w:val="000080"/>
          <w:lang w:val="en-GB"/>
        </w:rPr>
        <w:t>U</w:t>
      </w:r>
      <w:r w:rsidR="001608E4" w:rsidRPr="003A62D9">
        <w:rPr>
          <w:rFonts w:ascii="Georgia" w:hAnsi="Georgia"/>
          <w:b/>
          <w:bCs/>
          <w:color w:val="000080"/>
          <w:lang w:val="en-GB"/>
        </w:rPr>
        <w:t>RBACT Info Day</w:t>
      </w:r>
      <w:r w:rsidR="00432323" w:rsidRPr="003A62D9">
        <w:rPr>
          <w:rFonts w:ascii="Georgia" w:hAnsi="Georgia"/>
          <w:b/>
          <w:bCs/>
          <w:color w:val="000080"/>
          <w:lang w:val="en-GB"/>
        </w:rPr>
        <w:t xml:space="preserve"> </w:t>
      </w:r>
      <w:r w:rsidR="003A62D9">
        <w:rPr>
          <w:rFonts w:ascii="Georgia" w:hAnsi="Georgia"/>
          <w:b/>
          <w:bCs/>
          <w:color w:val="000080"/>
          <w:lang w:val="en-GB"/>
        </w:rPr>
        <w:t>–</w:t>
      </w:r>
      <w:r w:rsidR="00432323" w:rsidRPr="003A62D9">
        <w:rPr>
          <w:rFonts w:ascii="Georgia" w:hAnsi="Georgia"/>
          <w:b/>
          <w:bCs/>
          <w:color w:val="000080"/>
          <w:lang w:val="en-GB"/>
        </w:rPr>
        <w:t xml:space="preserve"> </w:t>
      </w:r>
      <w:r w:rsidR="001608E4" w:rsidRPr="003A62D9">
        <w:rPr>
          <w:rFonts w:ascii="Georgia" w:hAnsi="Georgia"/>
          <w:b/>
          <w:bCs/>
          <w:color w:val="000080"/>
          <w:lang w:val="en-GB"/>
        </w:rPr>
        <w:t>IRELAND</w:t>
      </w:r>
      <w:r w:rsidR="003A62D9">
        <w:rPr>
          <w:rFonts w:ascii="Georgia" w:hAnsi="Georgia"/>
          <w:b/>
          <w:bCs/>
          <w:color w:val="000080"/>
          <w:lang w:val="en-GB"/>
        </w:rPr>
        <w:t xml:space="preserve"> - AGENDA</w:t>
      </w:r>
    </w:p>
    <w:p w:rsidR="001608E4" w:rsidRPr="00056F0C" w:rsidRDefault="001608E4" w:rsidP="003A62D9">
      <w:pPr>
        <w:autoSpaceDE w:val="0"/>
        <w:autoSpaceDN w:val="0"/>
        <w:adjustRightInd w:val="0"/>
        <w:ind w:left="-567" w:right="-284"/>
        <w:jc w:val="center"/>
        <w:rPr>
          <w:rFonts w:ascii="Georgia" w:hAnsi="Georgia"/>
          <w:b/>
          <w:bCs/>
          <w:color w:val="000080"/>
          <w:sz w:val="22"/>
          <w:szCs w:val="22"/>
          <w:lang w:val="en-GB"/>
        </w:rPr>
      </w:pPr>
      <w:r w:rsidRPr="00056F0C">
        <w:rPr>
          <w:rFonts w:ascii="Georgia" w:hAnsi="Georgia"/>
          <w:b/>
          <w:bCs/>
          <w:color w:val="000080"/>
          <w:sz w:val="22"/>
          <w:szCs w:val="22"/>
          <w:lang w:val="en-GB"/>
        </w:rPr>
        <w:t>5</w:t>
      </w:r>
      <w:r w:rsidRPr="00056F0C">
        <w:rPr>
          <w:rFonts w:ascii="Georgia" w:hAnsi="Georgia"/>
          <w:b/>
          <w:bCs/>
          <w:color w:val="000080"/>
          <w:sz w:val="22"/>
          <w:szCs w:val="22"/>
          <w:vertAlign w:val="superscript"/>
          <w:lang w:val="en-GB"/>
        </w:rPr>
        <w:t xml:space="preserve">th </w:t>
      </w:r>
      <w:r w:rsidRPr="00056F0C">
        <w:rPr>
          <w:rFonts w:ascii="Georgia" w:hAnsi="Georgia"/>
          <w:b/>
          <w:bCs/>
          <w:color w:val="000080"/>
          <w:sz w:val="22"/>
          <w:szCs w:val="22"/>
          <w:lang w:val="en-GB"/>
        </w:rPr>
        <w:t>February, 2015</w:t>
      </w:r>
    </w:p>
    <w:p w:rsidR="001608E4" w:rsidRPr="00056F0C" w:rsidRDefault="001608E4" w:rsidP="003A62D9">
      <w:pPr>
        <w:autoSpaceDE w:val="0"/>
        <w:autoSpaceDN w:val="0"/>
        <w:adjustRightInd w:val="0"/>
        <w:ind w:left="-567" w:right="-284"/>
        <w:jc w:val="center"/>
        <w:rPr>
          <w:rFonts w:ascii="Georgia" w:hAnsi="Georgia"/>
          <w:b/>
          <w:bCs/>
          <w:color w:val="000080"/>
          <w:sz w:val="22"/>
          <w:szCs w:val="22"/>
          <w:lang w:val="en-GB"/>
        </w:rPr>
      </w:pPr>
      <w:proofErr w:type="spellStart"/>
      <w:r w:rsidRPr="00056F0C">
        <w:rPr>
          <w:rFonts w:ascii="Georgia" w:hAnsi="Georgia"/>
          <w:b/>
          <w:bCs/>
          <w:color w:val="000080"/>
          <w:sz w:val="22"/>
          <w:szCs w:val="22"/>
          <w:lang w:val="en-GB"/>
        </w:rPr>
        <w:t>Renehan</w:t>
      </w:r>
      <w:proofErr w:type="spellEnd"/>
      <w:r w:rsidRPr="00056F0C">
        <w:rPr>
          <w:rFonts w:ascii="Georgia" w:hAnsi="Georgia"/>
          <w:b/>
          <w:bCs/>
          <w:color w:val="000080"/>
          <w:sz w:val="22"/>
          <w:szCs w:val="22"/>
          <w:lang w:val="en-GB"/>
        </w:rPr>
        <w:t xml:space="preserve"> Hall, South Campus,</w:t>
      </w:r>
      <w:r w:rsidR="007647A9">
        <w:rPr>
          <w:rFonts w:ascii="Georgia" w:hAnsi="Georgia"/>
          <w:b/>
          <w:bCs/>
          <w:color w:val="000080"/>
          <w:sz w:val="22"/>
          <w:szCs w:val="22"/>
          <w:lang w:val="en-GB"/>
        </w:rPr>
        <w:t xml:space="preserve"> </w:t>
      </w:r>
      <w:r w:rsidRPr="00056F0C">
        <w:rPr>
          <w:rFonts w:ascii="Georgia" w:hAnsi="Georgia"/>
          <w:b/>
          <w:bCs/>
          <w:color w:val="000080"/>
          <w:sz w:val="22"/>
          <w:szCs w:val="22"/>
          <w:lang w:val="en-GB"/>
        </w:rPr>
        <w:t>Maynooth University, Co. Kildare</w:t>
      </w:r>
    </w:p>
    <w:p w:rsidR="00FD6EEB" w:rsidRDefault="00FD6EEB" w:rsidP="003A62D9">
      <w:pPr>
        <w:autoSpaceDE w:val="0"/>
        <w:autoSpaceDN w:val="0"/>
        <w:adjustRightInd w:val="0"/>
        <w:ind w:left="-567" w:right="-284"/>
        <w:jc w:val="center"/>
        <w:rPr>
          <w:rFonts w:ascii="Georgia" w:hAnsi="Georgia" w:cs="Calibri"/>
          <w:b/>
          <w:color w:val="000080"/>
          <w:lang w:val="en-GB" w:eastAsia="en-US"/>
        </w:rPr>
      </w:pPr>
      <w:r w:rsidRPr="003A62D9">
        <w:rPr>
          <w:rFonts w:ascii="Georgia" w:hAnsi="Georgia" w:cs="Calibri"/>
          <w:b/>
          <w:color w:val="000080"/>
          <w:lang w:val="en-GB" w:eastAsia="en-US"/>
        </w:rPr>
        <w:t>From URBACT II to URBACT III –</w:t>
      </w:r>
      <w:r w:rsidR="007F22F0" w:rsidRPr="003A62D9">
        <w:rPr>
          <w:rFonts w:ascii="Georgia" w:hAnsi="Georgia" w:cs="Calibri"/>
          <w:b/>
          <w:color w:val="000080"/>
          <w:lang w:val="en-GB" w:eastAsia="en-US"/>
        </w:rPr>
        <w:t xml:space="preserve"> </w:t>
      </w:r>
      <w:r w:rsidRPr="003A62D9">
        <w:rPr>
          <w:rFonts w:ascii="Georgia" w:hAnsi="Georgia" w:cs="Calibri"/>
          <w:b/>
          <w:color w:val="000080"/>
          <w:lang w:val="en-GB" w:eastAsia="en-US"/>
        </w:rPr>
        <w:t>what support for cities?</w:t>
      </w:r>
    </w:p>
    <w:p w:rsidR="00A641F6" w:rsidRPr="00A641F6" w:rsidRDefault="00A641F6" w:rsidP="003A62D9">
      <w:pPr>
        <w:autoSpaceDE w:val="0"/>
        <w:autoSpaceDN w:val="0"/>
        <w:adjustRightInd w:val="0"/>
        <w:ind w:left="-567" w:right="-284"/>
        <w:jc w:val="center"/>
        <w:rPr>
          <w:rFonts w:ascii="Georgia" w:hAnsi="Georgia" w:cs="Calibri"/>
          <w:b/>
          <w:color w:val="000080"/>
          <w:sz w:val="22"/>
          <w:szCs w:val="22"/>
          <w:lang w:val="en-GB" w:eastAsia="en-US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8391"/>
      </w:tblGrid>
      <w:tr w:rsidR="00386E99" w:rsidRPr="004D11C6" w:rsidTr="008A271C">
        <w:tc>
          <w:tcPr>
            <w:tcW w:w="16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86E99" w:rsidRPr="002E0DA5" w:rsidRDefault="00386E99" w:rsidP="004D11C6">
            <w:pPr>
              <w:pStyle w:val="Heading2"/>
              <w:spacing w:before="0" w:beforeAutospacing="0" w:after="0" w:afterAutospacing="0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9.00–9</w:t>
            </w:r>
            <w:r w:rsidRPr="002E0DA5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.30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shd w:val="clear" w:color="auto" w:fill="002060"/>
          </w:tcPr>
          <w:p w:rsidR="00386E99" w:rsidRPr="004D11C6" w:rsidRDefault="00B96CDA" w:rsidP="004D11C6">
            <w:pPr>
              <w:pStyle w:val="Heading2"/>
              <w:spacing w:before="0" w:beforeAutospacing="0" w:after="0" w:afterAutospacing="0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 w:rsidRPr="004D11C6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Registration (t</w:t>
            </w:r>
            <w:r w:rsidR="00386E99" w:rsidRPr="004D11C6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ea/</w:t>
            </w:r>
            <w:r w:rsidRPr="004D11C6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c</w:t>
            </w:r>
            <w:r w:rsidR="00386E99" w:rsidRPr="004D11C6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offee on arrival</w:t>
            </w:r>
            <w:r w:rsidRPr="004D11C6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FD6EEB" w:rsidRPr="002E7B3D" w:rsidTr="008A271C">
        <w:tc>
          <w:tcPr>
            <w:tcW w:w="1674" w:type="dxa"/>
            <w:tcBorders>
              <w:bottom w:val="single" w:sz="4" w:space="0" w:color="auto"/>
            </w:tcBorders>
            <w:shd w:val="clear" w:color="auto" w:fill="7DBEFF"/>
            <w:vAlign w:val="center"/>
          </w:tcPr>
          <w:p w:rsidR="00FD6EEB" w:rsidRPr="009D33E5" w:rsidRDefault="00FD6EEB" w:rsidP="00DE5DAF">
            <w:pPr>
              <w:pStyle w:val="Heading2"/>
              <w:spacing w:line="360" w:lineRule="auto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 w:rsidRPr="009D33E5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9.30–9.4</w:t>
            </w:r>
            <w:r w:rsidR="001E07F8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shd w:val="clear" w:color="auto" w:fill="7DBEFF"/>
          </w:tcPr>
          <w:p w:rsidR="002E7B3D" w:rsidRPr="00E87CE5" w:rsidRDefault="00FD6EEB" w:rsidP="00B6449A">
            <w:pPr>
              <w:spacing w:before="120" w:after="120" w:line="360" w:lineRule="auto"/>
              <w:ind w:left="290"/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E87CE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Welcome and introduction by Ministry: </w:t>
            </w:r>
            <w:r w:rsidRPr="00E87CE5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Colm Downey, Department of Environment, Community and Local Governmen</w:t>
            </w:r>
            <w:r w:rsidR="00B6449A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t</w:t>
            </w:r>
          </w:p>
        </w:tc>
      </w:tr>
      <w:tr w:rsidR="00FD6EEB" w:rsidRPr="009D33E5" w:rsidTr="008A271C">
        <w:tc>
          <w:tcPr>
            <w:tcW w:w="1674" w:type="dxa"/>
            <w:shd w:val="clear" w:color="auto" w:fill="7DBEFF"/>
            <w:vAlign w:val="center"/>
          </w:tcPr>
          <w:p w:rsidR="00FD6EEB" w:rsidRPr="00AD11D4" w:rsidRDefault="00BC5781" w:rsidP="00DE5DAF">
            <w:pPr>
              <w:pStyle w:val="Heading2"/>
              <w:spacing w:line="360" w:lineRule="auto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9.40–11.0</w:t>
            </w:r>
            <w:r w:rsidR="00FD6EEB" w:rsidRPr="00AD11D4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8391" w:type="dxa"/>
            <w:shd w:val="clear" w:color="auto" w:fill="7DBEFF"/>
          </w:tcPr>
          <w:p w:rsidR="00FD6EEB" w:rsidRPr="00BE7775" w:rsidRDefault="00FD6EEB" w:rsidP="00AD11D4">
            <w:pPr>
              <w:spacing w:before="120" w:after="120" w:line="360" w:lineRule="auto"/>
              <w:ind w:left="290"/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URBACT II results – Partner cities sharing their experience</w:t>
            </w:r>
          </w:p>
          <w:p w:rsidR="001E07F8" w:rsidRPr="00BE7775" w:rsidRDefault="001E07F8" w:rsidP="00A875A1">
            <w:pPr>
              <w:pStyle w:val="ListParagraph"/>
              <w:numPr>
                <w:ilvl w:val="0"/>
                <w:numId w:val="22"/>
              </w:numPr>
              <w:spacing w:before="120" w:after="120" w:line="360" w:lineRule="auto"/>
              <w:ind w:left="601" w:hanging="283"/>
              <w:rPr>
                <w:rFonts w:ascii="Georgia" w:hAnsi="Georgia" w:cs="Calibri"/>
                <w:b/>
                <w:i/>
                <w:color w:val="FFFFFF" w:themeColor="background1"/>
                <w:lang w:val="en-GB" w:eastAsia="en-US"/>
              </w:rPr>
            </w:pP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URBACT in a nutshell: </w:t>
            </w:r>
            <w:r w:rsidRPr="00BE7775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Melody Houk, Projects Manager, URBACT Secretariat</w:t>
            </w:r>
          </w:p>
          <w:p w:rsidR="00980744" w:rsidRPr="00BE7775" w:rsidRDefault="001354A7" w:rsidP="004140B8">
            <w:pPr>
              <w:pStyle w:val="ListParagraph"/>
              <w:numPr>
                <w:ilvl w:val="0"/>
                <w:numId w:val="22"/>
              </w:numPr>
              <w:spacing w:before="120" w:after="120"/>
              <w:ind w:left="601" w:hanging="283"/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Panel discussion “C</w:t>
            </w:r>
            <w:r w:rsidR="00191662"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ities achieving integrated urban development through URBACT</w:t>
            </w:r>
            <w:r w:rsidR="00486BCD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”</w:t>
            </w:r>
            <w:r w:rsidR="00F2776F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 with:</w:t>
            </w:r>
            <w:r w:rsidR="00191662"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 </w:t>
            </w:r>
          </w:p>
          <w:p w:rsidR="00191662" w:rsidRPr="00BE7775" w:rsidRDefault="00191662" w:rsidP="002363A5">
            <w:pPr>
              <w:numPr>
                <w:ilvl w:val="0"/>
                <w:numId w:val="23"/>
              </w:numPr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4C75D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Dave Lawless, Project Officer</w:t>
            </w: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, Placemaking for Cities (Pilot Project on the transfer of good practice between 4 European Cities)</w:t>
            </w:r>
          </w:p>
          <w:p w:rsidR="00191662" w:rsidRPr="00BE7775" w:rsidRDefault="00191662" w:rsidP="002363A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4C75D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John O’Hara, Dublin City Council Planning Officer</w:t>
            </w: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, UESAct (Urban Sustainable Environmental Actions) Projects</w:t>
            </w:r>
          </w:p>
          <w:p w:rsidR="000969C5" w:rsidRPr="00BE7775" w:rsidRDefault="00C6381D" w:rsidP="002363A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4C75D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Councillor Malcolm Noonan</w:t>
            </w: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, Kilkenny LINKS project</w:t>
            </w:r>
          </w:p>
          <w:p w:rsidR="000969C5" w:rsidRPr="00BE7775" w:rsidRDefault="004519BA" w:rsidP="002363A5">
            <w:pPr>
              <w:pStyle w:val="ListParagraph"/>
              <w:numPr>
                <w:ilvl w:val="0"/>
                <w:numId w:val="23"/>
              </w:numPr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4C75D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Padraig Maguire</w:t>
            </w: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, </w:t>
            </w:r>
            <w:r w:rsidR="0042551A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Monaghan</w:t>
            </w:r>
            <w:r w:rsidR="000969C5"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, partner in Woodfootprint network</w:t>
            </w:r>
          </w:p>
          <w:p w:rsidR="00191662" w:rsidRPr="00BE7775" w:rsidRDefault="002E6DEE" w:rsidP="00191662">
            <w:pPr>
              <w:numPr>
                <w:ilvl w:val="0"/>
                <w:numId w:val="15"/>
              </w:numPr>
              <w:spacing w:before="120" w:after="120"/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Exchange with the audience</w:t>
            </w:r>
          </w:p>
          <w:p w:rsidR="00191662" w:rsidRPr="008B5E2A" w:rsidRDefault="00191662" w:rsidP="00894C37">
            <w:pPr>
              <w:spacing w:before="120" w:after="120"/>
              <w:ind w:left="360"/>
              <w:rPr>
                <w:rFonts w:ascii="Georgia" w:hAnsi="Georgia" w:cs="Calibri"/>
                <w:b/>
                <w:i/>
                <w:color w:val="FFFFFF" w:themeColor="background1"/>
                <w:lang w:val="en-GB" w:eastAsia="en-US"/>
              </w:rPr>
            </w:pPr>
            <w:r w:rsidRPr="00BE777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Moderated by </w:t>
            </w:r>
            <w:r w:rsidR="002E6DEE" w:rsidRPr="004C75D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Peter Ramsden, URBACT Thematic Pole Manager</w:t>
            </w:r>
          </w:p>
        </w:tc>
      </w:tr>
      <w:tr w:rsidR="009D33E5" w:rsidRPr="00CC2950" w:rsidTr="008A271C">
        <w:tc>
          <w:tcPr>
            <w:tcW w:w="16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9D33E5" w:rsidRPr="002E0DA5" w:rsidRDefault="00BC5781" w:rsidP="00914201">
            <w:pPr>
              <w:pStyle w:val="Heading2"/>
              <w:spacing w:before="0" w:beforeAutospacing="0" w:after="0" w:afterAutospacing="0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11.0</w:t>
            </w:r>
            <w:r w:rsidR="002E0DA5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0</w:t>
            </w:r>
            <w:r w:rsidR="009D33E5" w:rsidRPr="002E0DA5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–11.30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shd w:val="clear" w:color="auto" w:fill="002060"/>
          </w:tcPr>
          <w:p w:rsidR="009D33E5" w:rsidRPr="00952441" w:rsidRDefault="009D33E5" w:rsidP="00914201">
            <w:pPr>
              <w:ind w:left="289"/>
              <w:rPr>
                <w:rFonts w:ascii="Georgia" w:hAnsi="Georgia" w:cs="Calibri"/>
                <w:b/>
                <w:i/>
                <w:lang w:val="en-GB" w:eastAsia="en-US"/>
              </w:rPr>
            </w:pPr>
            <w:r w:rsidRPr="0095244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Coffee Break</w:t>
            </w:r>
          </w:p>
        </w:tc>
      </w:tr>
      <w:tr w:rsidR="00FD6EEB" w:rsidRPr="009D33E5" w:rsidTr="008A271C">
        <w:tc>
          <w:tcPr>
            <w:tcW w:w="1674" w:type="dxa"/>
            <w:shd w:val="clear" w:color="auto" w:fill="7DBEFF"/>
            <w:vAlign w:val="center"/>
          </w:tcPr>
          <w:p w:rsidR="00FD6EEB" w:rsidRPr="00AD11D4" w:rsidRDefault="002E0DA5" w:rsidP="00DE5DAF">
            <w:pPr>
              <w:pStyle w:val="Heading2"/>
              <w:spacing w:line="360" w:lineRule="auto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11.30</w:t>
            </w:r>
            <w:r w:rsidR="00FD6EEB" w:rsidRPr="00AD11D4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–12.00</w:t>
            </w:r>
          </w:p>
        </w:tc>
        <w:tc>
          <w:tcPr>
            <w:tcW w:w="8391" w:type="dxa"/>
            <w:shd w:val="clear" w:color="auto" w:fill="7DBEFF"/>
          </w:tcPr>
          <w:p w:rsidR="00BC215C" w:rsidRPr="00DD204A" w:rsidRDefault="00FD6EEB" w:rsidP="00B6449A">
            <w:pPr>
              <w:spacing w:before="120" w:after="120" w:line="360" w:lineRule="auto"/>
              <w:ind w:left="290"/>
              <w:rPr>
                <w:rFonts w:ascii="Georgia" w:hAnsi="Georgia" w:cs="Calibri"/>
                <w:b/>
                <w:i/>
                <w:color w:val="FFFFFF" w:themeColor="background1"/>
                <w:lang w:val="en-GB" w:eastAsia="en-US"/>
              </w:rPr>
            </w:pPr>
            <w:r w:rsidRPr="004C75D1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Integrated urban development – Lessons from URBACT II</w:t>
            </w:r>
            <w:r w:rsidR="004C75D1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: </w:t>
            </w:r>
            <w:r w:rsidR="00BD40E3" w:rsidRPr="00DD204A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Peter Ramsden, URBACT Thematic Pole Manager</w:t>
            </w:r>
          </w:p>
        </w:tc>
      </w:tr>
      <w:tr w:rsidR="00FD6EEB" w:rsidRPr="009D33E5" w:rsidTr="008A271C">
        <w:tc>
          <w:tcPr>
            <w:tcW w:w="1674" w:type="dxa"/>
            <w:shd w:val="clear" w:color="auto" w:fill="7DBEFF"/>
            <w:vAlign w:val="center"/>
          </w:tcPr>
          <w:p w:rsidR="00FD6EEB" w:rsidRPr="00AD11D4" w:rsidRDefault="002E0DA5" w:rsidP="00DE5DAF">
            <w:pPr>
              <w:pStyle w:val="Heading2"/>
              <w:spacing w:line="360" w:lineRule="auto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12.00</w:t>
            </w:r>
            <w:r w:rsidR="00FD6EEB" w:rsidRPr="00AD11D4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–12.30</w:t>
            </w:r>
          </w:p>
        </w:tc>
        <w:tc>
          <w:tcPr>
            <w:tcW w:w="8391" w:type="dxa"/>
            <w:shd w:val="clear" w:color="auto" w:fill="7DBEFF"/>
          </w:tcPr>
          <w:p w:rsidR="000945AA" w:rsidRDefault="00BD40E3" w:rsidP="002677D1">
            <w:pPr>
              <w:pStyle w:val="HTMLPreformatted"/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</w:pPr>
            <w:r w:rsidRPr="009A3FA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National Framework for </w:t>
            </w:r>
            <w:r w:rsidR="00FD6EEB" w:rsidRPr="009A3FA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Sus</w:t>
            </w:r>
            <w:r w:rsidR="00810943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tainable Urban D</w:t>
            </w:r>
            <w:r w:rsidR="009A3FA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evelopment </w:t>
            </w:r>
            <w:r w:rsidR="00DD1848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in Ireland </w:t>
            </w:r>
            <w:r w:rsidR="009A3FA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2014</w:t>
            </w:r>
            <w:r w:rsidR="00DC2BA6" w:rsidRPr="009A3FA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–</w:t>
            </w:r>
            <w:r w:rsidR="00FD6EEB" w:rsidRPr="009A3FA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2020</w:t>
            </w:r>
            <w:r w:rsidRPr="009A3FA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: </w:t>
            </w:r>
            <w:r w:rsidR="002677D1" w:rsidRPr="002677D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Stephen Blair, Director of Southern Regional Assembly and Gerry Finn, Director of Northern &amp; Western Regional Assembly</w:t>
            </w:r>
            <w:r w:rsidR="00152686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 xml:space="preserve"> </w:t>
            </w:r>
          </w:p>
          <w:p w:rsidR="002677D1" w:rsidRPr="002677D1" w:rsidRDefault="002677D1" w:rsidP="002677D1">
            <w:pPr>
              <w:pStyle w:val="HTMLPreformatted"/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</w:pPr>
          </w:p>
        </w:tc>
      </w:tr>
      <w:tr w:rsidR="00FD6EEB" w:rsidRPr="009D33E5" w:rsidTr="008A271C">
        <w:tc>
          <w:tcPr>
            <w:tcW w:w="1674" w:type="dxa"/>
            <w:shd w:val="clear" w:color="auto" w:fill="7DBEFF"/>
            <w:vAlign w:val="center"/>
          </w:tcPr>
          <w:p w:rsidR="00FD6EEB" w:rsidRPr="00AD11D4" w:rsidRDefault="00FD6EEB" w:rsidP="00DE5DAF">
            <w:pPr>
              <w:pStyle w:val="Heading2"/>
              <w:spacing w:line="360" w:lineRule="auto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 w:rsidRPr="00AD11D4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12.30</w:t>
            </w:r>
            <w:r w:rsidR="002E0DA5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–</w:t>
            </w:r>
            <w:r w:rsidRPr="00AD11D4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13.</w:t>
            </w:r>
            <w:r w:rsidR="00EF5C27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15</w:t>
            </w:r>
          </w:p>
        </w:tc>
        <w:tc>
          <w:tcPr>
            <w:tcW w:w="8391" w:type="dxa"/>
            <w:shd w:val="clear" w:color="auto" w:fill="7DBEFF"/>
          </w:tcPr>
          <w:p w:rsidR="00EF5C27" w:rsidRPr="00EF5C27" w:rsidRDefault="0042551A" w:rsidP="00F56B21">
            <w:pPr>
              <w:spacing w:before="120"/>
              <w:ind w:left="318"/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EF5C2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The URBACT III programme – What’s in </w:t>
            </w:r>
            <w:r w:rsidR="0083440C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it </w:t>
            </w:r>
            <w:r w:rsidRPr="00EF5C2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f</w:t>
            </w:r>
            <w:r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or cities, when and how to join</w:t>
            </w:r>
            <w:r w:rsidRPr="00EF5C2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? </w:t>
            </w:r>
            <w:r w:rsidR="0083440C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Melody Houk, Projects M</w:t>
            </w:r>
            <w:r w:rsidR="00EF5C27" w:rsidRPr="00EF5C27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anager, URBACT Secretariat</w:t>
            </w:r>
          </w:p>
          <w:p w:rsidR="00EF5C27" w:rsidRDefault="00EF5C27" w:rsidP="00F56B21">
            <w:pPr>
              <w:ind w:left="318"/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</w:p>
          <w:p w:rsidR="00EB465E" w:rsidRPr="00EF5C27" w:rsidRDefault="00EF5C27" w:rsidP="00D4044B">
            <w:pPr>
              <w:spacing w:after="32" w:line="360" w:lineRule="auto"/>
              <w:ind w:left="318"/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EF5C27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>Including exchange with the audience</w:t>
            </w:r>
          </w:p>
        </w:tc>
      </w:tr>
      <w:tr w:rsidR="00FD6EEB" w:rsidRPr="009D33E5" w:rsidTr="008A271C">
        <w:tc>
          <w:tcPr>
            <w:tcW w:w="1674" w:type="dxa"/>
            <w:shd w:val="clear" w:color="auto" w:fill="7DBEFF"/>
            <w:vAlign w:val="center"/>
          </w:tcPr>
          <w:p w:rsidR="00FD6EEB" w:rsidRPr="00AD11D4" w:rsidRDefault="00FD6EEB" w:rsidP="001A694E">
            <w:pPr>
              <w:pStyle w:val="Heading2"/>
              <w:spacing w:line="360" w:lineRule="auto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 w:rsidRPr="00AD11D4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13.</w:t>
            </w:r>
            <w:r w:rsidR="001A694E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15</w:t>
            </w:r>
            <w:r w:rsidRPr="00AD11D4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– 13.</w:t>
            </w:r>
            <w:r w:rsidR="001A694E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30</w:t>
            </w:r>
          </w:p>
        </w:tc>
        <w:tc>
          <w:tcPr>
            <w:tcW w:w="8391" w:type="dxa"/>
            <w:shd w:val="clear" w:color="auto" w:fill="7DBEFF"/>
          </w:tcPr>
          <w:p w:rsidR="00FD6EEB" w:rsidRPr="009D33E5" w:rsidRDefault="00FD6EEB" w:rsidP="00B6449A">
            <w:pPr>
              <w:spacing w:before="120" w:after="120" w:line="360" w:lineRule="auto"/>
              <w:ind w:left="290"/>
              <w:rPr>
                <w:rFonts w:ascii="Georgia" w:hAnsi="Georgia" w:cs="Calibri"/>
                <w:b/>
                <w:color w:val="FFFFFF" w:themeColor="background1"/>
                <w:lang w:val="en-GB" w:eastAsia="en-US"/>
              </w:rPr>
            </w:pPr>
            <w:r w:rsidRPr="009D33E5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Closure by Ministry and </w:t>
            </w:r>
            <w:r w:rsidR="00952441">
              <w:rPr>
                <w:rFonts w:ascii="Georgia" w:hAnsi="Georgia" w:cs="Calibri"/>
                <w:b/>
                <w:color w:val="FFFFFF" w:themeColor="background1"/>
                <w:sz w:val="22"/>
                <w:szCs w:val="22"/>
                <w:lang w:val="en-GB" w:eastAsia="en-US"/>
              </w:rPr>
              <w:t xml:space="preserve">National Dissemination Point: </w:t>
            </w:r>
            <w:r w:rsidR="00FB58AB" w:rsidRPr="0095244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 xml:space="preserve">Colm Downey, Department of Environment, Community and Local Government </w:t>
            </w:r>
            <w:r w:rsidR="00FB58AB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 xml:space="preserve">and </w:t>
            </w:r>
            <w:r w:rsidR="006F47CB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Professor</w:t>
            </w:r>
            <w:r w:rsidRPr="0095244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 xml:space="preserve"> Mark Boyle</w:t>
            </w:r>
            <w:r w:rsidR="00952441">
              <w:rPr>
                <w:rFonts w:ascii="Georgia" w:hAnsi="Georgia" w:cs="Calibri"/>
                <w:b/>
                <w:i/>
                <w:color w:val="FFFFFF" w:themeColor="background1"/>
                <w:sz w:val="22"/>
                <w:szCs w:val="22"/>
                <w:lang w:val="en-GB" w:eastAsia="en-US"/>
              </w:rPr>
              <w:t>, Maynooth University</w:t>
            </w:r>
          </w:p>
        </w:tc>
      </w:tr>
      <w:tr w:rsidR="00952441" w:rsidRPr="004D11C6" w:rsidTr="008A271C">
        <w:tc>
          <w:tcPr>
            <w:tcW w:w="16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952441" w:rsidRPr="002E0DA5" w:rsidRDefault="001A694E" w:rsidP="004D11C6">
            <w:pPr>
              <w:pStyle w:val="Heading2"/>
              <w:spacing w:before="0" w:beforeAutospacing="0" w:after="0" w:afterAutospacing="0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13.30</w:t>
            </w:r>
            <w:r w:rsidR="00952441" w:rsidRPr="002E0DA5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–14.</w:t>
            </w:r>
            <w:r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30</w:t>
            </w:r>
          </w:p>
        </w:tc>
        <w:tc>
          <w:tcPr>
            <w:tcW w:w="8391" w:type="dxa"/>
            <w:tcBorders>
              <w:bottom w:val="single" w:sz="4" w:space="0" w:color="auto"/>
            </w:tcBorders>
            <w:shd w:val="clear" w:color="auto" w:fill="002060"/>
          </w:tcPr>
          <w:p w:rsidR="00952441" w:rsidRPr="004D11C6" w:rsidRDefault="00952441" w:rsidP="004D11C6">
            <w:pPr>
              <w:pStyle w:val="Heading2"/>
              <w:spacing w:before="0" w:beforeAutospacing="0" w:after="0" w:afterAutospacing="0"/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</w:pPr>
            <w:r w:rsidRPr="004D11C6">
              <w:rPr>
                <w:rFonts w:ascii="Georgia" w:hAnsi="Georgia" w:cs="Georgia"/>
                <w:bCs w:val="0"/>
                <w:i/>
                <w:iCs/>
                <w:color w:val="FFFFFF" w:themeColor="background1"/>
                <w:sz w:val="22"/>
                <w:szCs w:val="22"/>
              </w:rPr>
              <w:t>Networking lunch</w:t>
            </w:r>
          </w:p>
        </w:tc>
      </w:tr>
    </w:tbl>
    <w:p w:rsidR="00FD6EEB" w:rsidRDefault="00FD6EEB" w:rsidP="00A641F6">
      <w:pPr>
        <w:spacing w:after="200" w:line="276" w:lineRule="auto"/>
        <w:rPr>
          <w:lang w:val="en-GB"/>
        </w:rPr>
      </w:pPr>
    </w:p>
    <w:sectPr w:rsidR="00FD6EEB" w:rsidSect="008A271C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5E" w:rsidRDefault="007C125E">
      <w:r>
        <w:separator/>
      </w:r>
    </w:p>
  </w:endnote>
  <w:endnote w:type="continuationSeparator" w:id="0">
    <w:p w:rsidR="007C125E" w:rsidRDefault="007C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sEFOP-Book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F" w:rsidRDefault="0014260D">
    <w:pPr>
      <w:pStyle w:val="Footer"/>
      <w:jc w:val="right"/>
    </w:pPr>
    <w:r>
      <w:fldChar w:fldCharType="begin"/>
    </w:r>
    <w:r w:rsidR="00694B1F">
      <w:instrText xml:space="preserve"> PAGE   \* MERGEFORMAT </w:instrText>
    </w:r>
    <w:r>
      <w:fldChar w:fldCharType="separate"/>
    </w:r>
    <w:r w:rsidR="00B6449A">
      <w:rPr>
        <w:noProof/>
      </w:rPr>
      <w:t>2</w:t>
    </w:r>
    <w:r>
      <w:rPr>
        <w:noProof/>
      </w:rPr>
      <w:fldChar w:fldCharType="end"/>
    </w:r>
  </w:p>
  <w:p w:rsidR="00694B1F" w:rsidRDefault="00694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F" w:rsidRDefault="00CA7A68" w:rsidP="00911CD8">
    <w:pPr>
      <w:pStyle w:val="Footer"/>
      <w:jc w:val="center"/>
    </w:pPr>
    <w:r>
      <w:rPr>
        <w:noProof/>
        <w:lang w:val="en-IE" w:eastAsia="en-IE"/>
      </w:rPr>
      <w:drawing>
        <wp:inline distT="0" distB="0" distL="0" distR="0">
          <wp:extent cx="1706880" cy="891540"/>
          <wp:effectExtent l="19050" t="0" r="7620" b="0"/>
          <wp:docPr id="4" name="Picture 1" descr="C:\Users\Rowan\Documents\Maynooth\Powerpoint Template\K7384 Maynooth University Logo_RGB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wan\Documents\Maynooth\Powerpoint Template\K7384 Maynooth University Logo_RGB_300dp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 w:rsidR="00694B1F">
      <w:rPr>
        <w:noProof/>
        <w:lang w:val="en-IE" w:eastAsia="en-IE"/>
      </w:rPr>
      <w:drawing>
        <wp:inline distT="0" distB="0" distL="0" distR="0">
          <wp:extent cx="1045305" cy="845820"/>
          <wp:effectExtent l="19050" t="0" r="2445" b="0"/>
          <wp:docPr id="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010" cy="843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5E" w:rsidRDefault="007C125E">
      <w:r>
        <w:separator/>
      </w:r>
    </w:p>
  </w:footnote>
  <w:footnote w:type="continuationSeparator" w:id="0">
    <w:p w:rsidR="007C125E" w:rsidRDefault="007C12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B1F" w:rsidRDefault="008A271C" w:rsidP="00A262EE">
    <w:pPr>
      <w:pStyle w:val="Header"/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5790565</wp:posOffset>
          </wp:positionH>
          <wp:positionV relativeFrom="page">
            <wp:posOffset>266700</wp:posOffset>
          </wp:positionV>
          <wp:extent cx="1424940" cy="594360"/>
          <wp:effectExtent l="19050" t="0" r="3810" b="0"/>
          <wp:wrapNone/>
          <wp:docPr id="2" name="Image 4" descr="logo_droite_c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_droite_co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62B50" w:rsidRPr="001608E4">
      <w:rPr>
        <w:noProof/>
        <w:lang w:val="en-IE" w:eastAsia="en-IE"/>
      </w:rPr>
      <w:drawing>
        <wp:inline distT="0" distB="0" distL="0" distR="0">
          <wp:extent cx="1383030" cy="541020"/>
          <wp:effectExtent l="19050" t="0" r="7620" b="0"/>
          <wp:docPr id="3" name="Picture 2" descr="DECLG-Colour-Logo-1024x41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5" descr="DECLG-Colour-Logo-1024x413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2700" cy="54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8543899"/>
    <w:multiLevelType w:val="hybridMultilevel"/>
    <w:tmpl w:val="CAB8AB2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F5429"/>
    <w:multiLevelType w:val="multilevel"/>
    <w:tmpl w:val="BC34A24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Style3"/>
      <w:lvlText w:val="4.4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>
    <w:nsid w:val="18B226C9"/>
    <w:multiLevelType w:val="hybridMultilevel"/>
    <w:tmpl w:val="D288614E"/>
    <w:lvl w:ilvl="0" w:tplc="A9128BE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egacySansEFOP-Book" w:eastAsia="Times New Roman" w:hAnsi="LegacySansEFOP-Book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8B157E"/>
    <w:multiLevelType w:val="hybridMultilevel"/>
    <w:tmpl w:val="86D4F960"/>
    <w:lvl w:ilvl="0" w:tplc="1809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>
    <w:nsid w:val="1DB97F94"/>
    <w:multiLevelType w:val="hybridMultilevel"/>
    <w:tmpl w:val="271A88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67609B"/>
    <w:multiLevelType w:val="hybridMultilevel"/>
    <w:tmpl w:val="AA644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667A4"/>
    <w:multiLevelType w:val="hybridMultilevel"/>
    <w:tmpl w:val="13063A3C"/>
    <w:lvl w:ilvl="0" w:tplc="18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1">
    <w:nsid w:val="47072323"/>
    <w:multiLevelType w:val="hybridMultilevel"/>
    <w:tmpl w:val="44C6D85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D709DB"/>
    <w:multiLevelType w:val="hybridMultilevel"/>
    <w:tmpl w:val="85B4B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1256F"/>
    <w:multiLevelType w:val="hybridMultilevel"/>
    <w:tmpl w:val="8B3AAD3E"/>
    <w:lvl w:ilvl="0" w:tplc="A9128BE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egacySansEFOP-Book" w:eastAsia="Times New Roman" w:hAnsi="LegacySansEFOP-Book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08213B"/>
    <w:multiLevelType w:val="multilevel"/>
    <w:tmpl w:val="8B3AAD3E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egacySansEFOP-Book" w:eastAsia="Times New Roman" w:hAnsi="LegacySansEFOP-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311344"/>
    <w:multiLevelType w:val="hybridMultilevel"/>
    <w:tmpl w:val="99F86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612BF"/>
    <w:multiLevelType w:val="hybridMultilevel"/>
    <w:tmpl w:val="A0F4605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6B1597"/>
    <w:multiLevelType w:val="multilevel"/>
    <w:tmpl w:val="03147DE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2"/>
  </w:num>
  <w:num w:numId="13">
    <w:abstractNumId w:val="15"/>
  </w:num>
  <w:num w:numId="14">
    <w:abstractNumId w:val="6"/>
  </w:num>
  <w:num w:numId="15">
    <w:abstractNumId w:val="8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2573EE"/>
    <w:rsid w:val="0000691A"/>
    <w:rsid w:val="00017D43"/>
    <w:rsid w:val="000266D8"/>
    <w:rsid w:val="0003121D"/>
    <w:rsid w:val="0003261A"/>
    <w:rsid w:val="00056F0C"/>
    <w:rsid w:val="0006669E"/>
    <w:rsid w:val="000703EF"/>
    <w:rsid w:val="00077685"/>
    <w:rsid w:val="000945AA"/>
    <w:rsid w:val="000963D0"/>
    <w:rsid w:val="000969C5"/>
    <w:rsid w:val="000B0CA0"/>
    <w:rsid w:val="000B392E"/>
    <w:rsid w:val="00110C7C"/>
    <w:rsid w:val="00114651"/>
    <w:rsid w:val="00114FFA"/>
    <w:rsid w:val="001354A7"/>
    <w:rsid w:val="00136D53"/>
    <w:rsid w:val="0014260D"/>
    <w:rsid w:val="00152686"/>
    <w:rsid w:val="00154802"/>
    <w:rsid w:val="001606BB"/>
    <w:rsid w:val="0016072E"/>
    <w:rsid w:val="001608E4"/>
    <w:rsid w:val="00162F57"/>
    <w:rsid w:val="00175323"/>
    <w:rsid w:val="00180574"/>
    <w:rsid w:val="00183A95"/>
    <w:rsid w:val="00191662"/>
    <w:rsid w:val="00192D98"/>
    <w:rsid w:val="001A35E6"/>
    <w:rsid w:val="001A694E"/>
    <w:rsid w:val="001B51A8"/>
    <w:rsid w:val="001C070C"/>
    <w:rsid w:val="001C1B67"/>
    <w:rsid w:val="001C2F1F"/>
    <w:rsid w:val="001D5F27"/>
    <w:rsid w:val="001E07F8"/>
    <w:rsid w:val="001F2D97"/>
    <w:rsid w:val="00201AC9"/>
    <w:rsid w:val="002110D1"/>
    <w:rsid w:val="002327C6"/>
    <w:rsid w:val="002363A5"/>
    <w:rsid w:val="00236C2E"/>
    <w:rsid w:val="0023799F"/>
    <w:rsid w:val="002542AB"/>
    <w:rsid w:val="002573EE"/>
    <w:rsid w:val="002677D1"/>
    <w:rsid w:val="002721AA"/>
    <w:rsid w:val="00273230"/>
    <w:rsid w:val="002971B2"/>
    <w:rsid w:val="002C4E1C"/>
    <w:rsid w:val="002D5D5C"/>
    <w:rsid w:val="002E0DA5"/>
    <w:rsid w:val="002E6DEE"/>
    <w:rsid w:val="002E75C8"/>
    <w:rsid w:val="002E7B3D"/>
    <w:rsid w:val="002F0C79"/>
    <w:rsid w:val="003021E8"/>
    <w:rsid w:val="003048D5"/>
    <w:rsid w:val="00357FD7"/>
    <w:rsid w:val="00360FBA"/>
    <w:rsid w:val="00363D05"/>
    <w:rsid w:val="00386E99"/>
    <w:rsid w:val="003A0E9A"/>
    <w:rsid w:val="003A62D9"/>
    <w:rsid w:val="003B784E"/>
    <w:rsid w:val="003D78D9"/>
    <w:rsid w:val="003E5EFA"/>
    <w:rsid w:val="003F0384"/>
    <w:rsid w:val="003F44E7"/>
    <w:rsid w:val="003F497C"/>
    <w:rsid w:val="0041060F"/>
    <w:rsid w:val="00410B3A"/>
    <w:rsid w:val="00412276"/>
    <w:rsid w:val="00412C8C"/>
    <w:rsid w:val="004140B8"/>
    <w:rsid w:val="00414C3B"/>
    <w:rsid w:val="0042551A"/>
    <w:rsid w:val="00432323"/>
    <w:rsid w:val="00441ECC"/>
    <w:rsid w:val="0044213F"/>
    <w:rsid w:val="004502EA"/>
    <w:rsid w:val="004519BA"/>
    <w:rsid w:val="00460387"/>
    <w:rsid w:val="004711FB"/>
    <w:rsid w:val="00473F96"/>
    <w:rsid w:val="00476091"/>
    <w:rsid w:val="004770FC"/>
    <w:rsid w:val="0048465A"/>
    <w:rsid w:val="00486BCD"/>
    <w:rsid w:val="00487193"/>
    <w:rsid w:val="004925ED"/>
    <w:rsid w:val="00494A8D"/>
    <w:rsid w:val="004A1499"/>
    <w:rsid w:val="004C5902"/>
    <w:rsid w:val="004C75D1"/>
    <w:rsid w:val="004D11C6"/>
    <w:rsid w:val="004D7F72"/>
    <w:rsid w:val="004F6596"/>
    <w:rsid w:val="004F68DF"/>
    <w:rsid w:val="00500C73"/>
    <w:rsid w:val="00503477"/>
    <w:rsid w:val="00510A3C"/>
    <w:rsid w:val="00521CF8"/>
    <w:rsid w:val="00527C8B"/>
    <w:rsid w:val="005310A7"/>
    <w:rsid w:val="00533BAB"/>
    <w:rsid w:val="00553238"/>
    <w:rsid w:val="00567786"/>
    <w:rsid w:val="005734E7"/>
    <w:rsid w:val="0057634F"/>
    <w:rsid w:val="0059079F"/>
    <w:rsid w:val="00594490"/>
    <w:rsid w:val="005A2822"/>
    <w:rsid w:val="005D2D4F"/>
    <w:rsid w:val="005D39E1"/>
    <w:rsid w:val="005D782D"/>
    <w:rsid w:val="005E3D86"/>
    <w:rsid w:val="00611584"/>
    <w:rsid w:val="006156FC"/>
    <w:rsid w:val="00617A02"/>
    <w:rsid w:val="00621A17"/>
    <w:rsid w:val="006361B3"/>
    <w:rsid w:val="006530C2"/>
    <w:rsid w:val="00663E11"/>
    <w:rsid w:val="006700A3"/>
    <w:rsid w:val="0067519D"/>
    <w:rsid w:val="0068462C"/>
    <w:rsid w:val="00687639"/>
    <w:rsid w:val="00694B1F"/>
    <w:rsid w:val="00695D35"/>
    <w:rsid w:val="006C6BA0"/>
    <w:rsid w:val="006D3D14"/>
    <w:rsid w:val="006D5425"/>
    <w:rsid w:val="006D6ED7"/>
    <w:rsid w:val="006F47CB"/>
    <w:rsid w:val="00700D19"/>
    <w:rsid w:val="00726B1B"/>
    <w:rsid w:val="00747942"/>
    <w:rsid w:val="00751B67"/>
    <w:rsid w:val="007647A9"/>
    <w:rsid w:val="00764A33"/>
    <w:rsid w:val="00784D40"/>
    <w:rsid w:val="007947A0"/>
    <w:rsid w:val="00796FE2"/>
    <w:rsid w:val="007B541B"/>
    <w:rsid w:val="007B5BAB"/>
    <w:rsid w:val="007C125E"/>
    <w:rsid w:val="007C1278"/>
    <w:rsid w:val="007D427F"/>
    <w:rsid w:val="007E6FE2"/>
    <w:rsid w:val="007F22F0"/>
    <w:rsid w:val="00805EC9"/>
    <w:rsid w:val="00810943"/>
    <w:rsid w:val="00810A8D"/>
    <w:rsid w:val="00815A92"/>
    <w:rsid w:val="00816A49"/>
    <w:rsid w:val="00817309"/>
    <w:rsid w:val="00817571"/>
    <w:rsid w:val="00821928"/>
    <w:rsid w:val="008262F5"/>
    <w:rsid w:val="0083440C"/>
    <w:rsid w:val="00834726"/>
    <w:rsid w:val="00840BDD"/>
    <w:rsid w:val="00850B63"/>
    <w:rsid w:val="00884BE8"/>
    <w:rsid w:val="00893312"/>
    <w:rsid w:val="00894C37"/>
    <w:rsid w:val="008A271C"/>
    <w:rsid w:val="008A6DAB"/>
    <w:rsid w:val="008B5E2A"/>
    <w:rsid w:val="008B7622"/>
    <w:rsid w:val="008C1556"/>
    <w:rsid w:val="008D1B64"/>
    <w:rsid w:val="008D7597"/>
    <w:rsid w:val="008E3768"/>
    <w:rsid w:val="008F2135"/>
    <w:rsid w:val="00911CD8"/>
    <w:rsid w:val="00914201"/>
    <w:rsid w:val="00917BAD"/>
    <w:rsid w:val="009449D2"/>
    <w:rsid w:val="00952441"/>
    <w:rsid w:val="009543E5"/>
    <w:rsid w:val="00963A82"/>
    <w:rsid w:val="00965816"/>
    <w:rsid w:val="009727E2"/>
    <w:rsid w:val="00974032"/>
    <w:rsid w:val="00975666"/>
    <w:rsid w:val="00980744"/>
    <w:rsid w:val="0099717E"/>
    <w:rsid w:val="00997185"/>
    <w:rsid w:val="009A3FA7"/>
    <w:rsid w:val="009C2099"/>
    <w:rsid w:val="009C3CE7"/>
    <w:rsid w:val="009C51C3"/>
    <w:rsid w:val="009C5B02"/>
    <w:rsid w:val="009D246E"/>
    <w:rsid w:val="009D2F6C"/>
    <w:rsid w:val="009D33E5"/>
    <w:rsid w:val="009D532D"/>
    <w:rsid w:val="009D5A05"/>
    <w:rsid w:val="009D5E17"/>
    <w:rsid w:val="009E70BD"/>
    <w:rsid w:val="00A12720"/>
    <w:rsid w:val="00A25E77"/>
    <w:rsid w:val="00A262EE"/>
    <w:rsid w:val="00A35592"/>
    <w:rsid w:val="00A541C2"/>
    <w:rsid w:val="00A57141"/>
    <w:rsid w:val="00A641F6"/>
    <w:rsid w:val="00A64513"/>
    <w:rsid w:val="00A82C6A"/>
    <w:rsid w:val="00A842F6"/>
    <w:rsid w:val="00A863E0"/>
    <w:rsid w:val="00A875A1"/>
    <w:rsid w:val="00A92D74"/>
    <w:rsid w:val="00AB122C"/>
    <w:rsid w:val="00AB71AB"/>
    <w:rsid w:val="00AC0AF5"/>
    <w:rsid w:val="00AC0B15"/>
    <w:rsid w:val="00AC6204"/>
    <w:rsid w:val="00AC6E3E"/>
    <w:rsid w:val="00AD11D4"/>
    <w:rsid w:val="00AD1B62"/>
    <w:rsid w:val="00B32261"/>
    <w:rsid w:val="00B36792"/>
    <w:rsid w:val="00B443D2"/>
    <w:rsid w:val="00B637A6"/>
    <w:rsid w:val="00B63F0C"/>
    <w:rsid w:val="00B6449A"/>
    <w:rsid w:val="00B96CDA"/>
    <w:rsid w:val="00BB1D99"/>
    <w:rsid w:val="00BC215C"/>
    <w:rsid w:val="00BC2A14"/>
    <w:rsid w:val="00BC5781"/>
    <w:rsid w:val="00BD11A0"/>
    <w:rsid w:val="00BD2961"/>
    <w:rsid w:val="00BD40E3"/>
    <w:rsid w:val="00BD43F1"/>
    <w:rsid w:val="00BE480B"/>
    <w:rsid w:val="00BE7775"/>
    <w:rsid w:val="00BF2C58"/>
    <w:rsid w:val="00BF7B5D"/>
    <w:rsid w:val="00C0255F"/>
    <w:rsid w:val="00C11D2E"/>
    <w:rsid w:val="00C16F1F"/>
    <w:rsid w:val="00C213A9"/>
    <w:rsid w:val="00C42725"/>
    <w:rsid w:val="00C525BA"/>
    <w:rsid w:val="00C62B50"/>
    <w:rsid w:val="00C6381D"/>
    <w:rsid w:val="00C80078"/>
    <w:rsid w:val="00C87142"/>
    <w:rsid w:val="00C90981"/>
    <w:rsid w:val="00C9270F"/>
    <w:rsid w:val="00C93CCD"/>
    <w:rsid w:val="00C940E7"/>
    <w:rsid w:val="00CA7A68"/>
    <w:rsid w:val="00CC2950"/>
    <w:rsid w:val="00CD10EF"/>
    <w:rsid w:val="00CD6AF7"/>
    <w:rsid w:val="00CF1906"/>
    <w:rsid w:val="00D0109D"/>
    <w:rsid w:val="00D0158D"/>
    <w:rsid w:val="00D114DC"/>
    <w:rsid w:val="00D12A2D"/>
    <w:rsid w:val="00D4044B"/>
    <w:rsid w:val="00D422D5"/>
    <w:rsid w:val="00D46114"/>
    <w:rsid w:val="00D526B3"/>
    <w:rsid w:val="00D57EEF"/>
    <w:rsid w:val="00D812D2"/>
    <w:rsid w:val="00D92700"/>
    <w:rsid w:val="00DC2BA6"/>
    <w:rsid w:val="00DD1848"/>
    <w:rsid w:val="00DD204A"/>
    <w:rsid w:val="00DE5DAF"/>
    <w:rsid w:val="00DF7637"/>
    <w:rsid w:val="00DF7C26"/>
    <w:rsid w:val="00E00E11"/>
    <w:rsid w:val="00E13841"/>
    <w:rsid w:val="00E20F91"/>
    <w:rsid w:val="00E370E8"/>
    <w:rsid w:val="00E6401F"/>
    <w:rsid w:val="00E71E3C"/>
    <w:rsid w:val="00E72293"/>
    <w:rsid w:val="00E834D7"/>
    <w:rsid w:val="00E87CE5"/>
    <w:rsid w:val="00E907E2"/>
    <w:rsid w:val="00EA2840"/>
    <w:rsid w:val="00EA7667"/>
    <w:rsid w:val="00EB465E"/>
    <w:rsid w:val="00EB49F3"/>
    <w:rsid w:val="00ED0070"/>
    <w:rsid w:val="00ED49ED"/>
    <w:rsid w:val="00ED4A01"/>
    <w:rsid w:val="00ED5FEF"/>
    <w:rsid w:val="00ED6BA5"/>
    <w:rsid w:val="00EE024C"/>
    <w:rsid w:val="00EE0A5D"/>
    <w:rsid w:val="00EE170B"/>
    <w:rsid w:val="00EE190C"/>
    <w:rsid w:val="00EE4FD1"/>
    <w:rsid w:val="00EF427D"/>
    <w:rsid w:val="00EF5C27"/>
    <w:rsid w:val="00EF6A91"/>
    <w:rsid w:val="00F02D96"/>
    <w:rsid w:val="00F078CD"/>
    <w:rsid w:val="00F1106C"/>
    <w:rsid w:val="00F24DF7"/>
    <w:rsid w:val="00F2578F"/>
    <w:rsid w:val="00F2776F"/>
    <w:rsid w:val="00F347C5"/>
    <w:rsid w:val="00F4136E"/>
    <w:rsid w:val="00F53104"/>
    <w:rsid w:val="00F5354F"/>
    <w:rsid w:val="00F54A95"/>
    <w:rsid w:val="00F55921"/>
    <w:rsid w:val="00F563E8"/>
    <w:rsid w:val="00F56B21"/>
    <w:rsid w:val="00F763EE"/>
    <w:rsid w:val="00F80277"/>
    <w:rsid w:val="00F8272B"/>
    <w:rsid w:val="00F911D7"/>
    <w:rsid w:val="00F91379"/>
    <w:rsid w:val="00F97EFD"/>
    <w:rsid w:val="00FA28CC"/>
    <w:rsid w:val="00FB52D6"/>
    <w:rsid w:val="00FB58AB"/>
    <w:rsid w:val="00FC4FD7"/>
    <w:rsid w:val="00FD3CAF"/>
    <w:rsid w:val="00FD6EEB"/>
    <w:rsid w:val="00FD7901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3EE"/>
    <w:rPr>
      <w:sz w:val="24"/>
      <w:szCs w:val="24"/>
      <w:lang w:val="it-IT" w:eastAsia="it-IT"/>
    </w:rPr>
  </w:style>
  <w:style w:type="paragraph" w:styleId="Heading2">
    <w:name w:val="heading 2"/>
    <w:basedOn w:val="Normal"/>
    <w:link w:val="Heading2Char"/>
    <w:uiPriority w:val="99"/>
    <w:qFormat/>
    <w:locked/>
    <w:rsid w:val="002E7B3D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BodyText2"/>
    <w:uiPriority w:val="99"/>
    <w:rsid w:val="004F6596"/>
    <w:pPr>
      <w:spacing w:after="0" w:line="240" w:lineRule="auto"/>
    </w:pPr>
    <w:rPr>
      <w:rFonts w:ascii="Verdana" w:hAnsi="Verdana"/>
      <w:b/>
      <w:bCs/>
      <w:smallCaps/>
      <w:color w:val="000080"/>
    </w:rPr>
  </w:style>
  <w:style w:type="paragraph" w:styleId="BodyText2">
    <w:name w:val="Body Text 2"/>
    <w:basedOn w:val="Normal"/>
    <w:link w:val="BodyText2Char"/>
    <w:uiPriority w:val="99"/>
    <w:rsid w:val="003F49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422D5"/>
    <w:rPr>
      <w:rFonts w:cs="Times New Roman"/>
      <w:sz w:val="24"/>
      <w:szCs w:val="24"/>
      <w:lang w:val="it-IT" w:eastAsia="it-IT"/>
    </w:rPr>
  </w:style>
  <w:style w:type="paragraph" w:customStyle="1" w:styleId="title2">
    <w:name w:val="title2"/>
    <w:basedOn w:val="Normal"/>
    <w:uiPriority w:val="99"/>
    <w:rsid w:val="004F6596"/>
    <w:rPr>
      <w:rFonts w:ascii="Verdana" w:hAnsi="Verdana"/>
      <w:b/>
      <w:color w:val="000080"/>
      <w:szCs w:val="22"/>
    </w:rPr>
  </w:style>
  <w:style w:type="paragraph" w:customStyle="1" w:styleId="TITLE10">
    <w:name w:val="TITLE 1"/>
    <w:basedOn w:val="Normal"/>
    <w:uiPriority w:val="99"/>
    <w:rsid w:val="00500C73"/>
    <w:pPr>
      <w:spacing w:after="200" w:line="276" w:lineRule="auto"/>
      <w:jc w:val="both"/>
    </w:pPr>
    <w:rPr>
      <w:rFonts w:ascii="Calibri" w:hAnsi="Calibri"/>
      <w:b/>
      <w:smallCaps/>
      <w:color w:val="000080"/>
      <w:sz w:val="28"/>
      <w:szCs w:val="22"/>
      <w:lang w:val="en-US" w:eastAsia="en-US"/>
    </w:rPr>
  </w:style>
  <w:style w:type="paragraph" w:customStyle="1" w:styleId="Style1">
    <w:name w:val="Style1"/>
    <w:basedOn w:val="title2"/>
    <w:uiPriority w:val="99"/>
    <w:rsid w:val="0044213F"/>
    <w:rPr>
      <w:sz w:val="28"/>
    </w:rPr>
  </w:style>
  <w:style w:type="paragraph" w:customStyle="1" w:styleId="Style3">
    <w:name w:val="Style3"/>
    <w:basedOn w:val="Normal"/>
    <w:autoRedefine/>
    <w:uiPriority w:val="99"/>
    <w:rsid w:val="00F54A95"/>
    <w:pPr>
      <w:numPr>
        <w:ilvl w:val="2"/>
        <w:numId w:val="6"/>
      </w:numPr>
    </w:pPr>
    <w:rPr>
      <w:rFonts w:ascii="Verdana" w:hAnsi="Verdana"/>
      <w:color w:val="000080"/>
      <w:sz w:val="26"/>
      <w:u w:val="single"/>
      <w:lang w:val="en-GB"/>
    </w:rPr>
  </w:style>
  <w:style w:type="paragraph" w:customStyle="1" w:styleId="Title3">
    <w:name w:val="Title 3"/>
    <w:basedOn w:val="Style3"/>
    <w:uiPriority w:val="99"/>
    <w:rsid w:val="004F6596"/>
    <w:pPr>
      <w:numPr>
        <w:ilvl w:val="0"/>
        <w:numId w:val="0"/>
      </w:numPr>
    </w:pPr>
  </w:style>
  <w:style w:type="paragraph" w:customStyle="1" w:styleId="Title4">
    <w:name w:val="Title 4"/>
    <w:basedOn w:val="TITLE10"/>
    <w:uiPriority w:val="99"/>
    <w:rsid w:val="00F911D7"/>
    <w:pPr>
      <w:jc w:val="center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rsid w:val="00AD1B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22D5"/>
    <w:rPr>
      <w:rFonts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rsid w:val="00AD1B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1CD8"/>
    <w:rPr>
      <w:rFonts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rsid w:val="00EA76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A7667"/>
    <w:rPr>
      <w:rFonts w:ascii="Lucida Grande" w:hAnsi="Lucida Grande" w:cs="Times New Roman"/>
      <w:sz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EE1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663E11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63E1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3E11"/>
    <w:rPr>
      <w:rFonts w:cs="Times New Roman"/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3E1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3E11"/>
    <w:rPr>
      <w:rFonts w:cs="Times New Roman"/>
      <w:b/>
      <w:bCs/>
      <w:sz w:val="20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uiPriority w:val="99"/>
    <w:rsid w:val="002E7B3D"/>
    <w:rPr>
      <w:rFonts w:eastAsia="Calibri"/>
      <w:b/>
      <w:bCs/>
      <w:sz w:val="36"/>
      <w:szCs w:val="36"/>
      <w:lang w:val="de-DE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E48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480B"/>
    <w:rPr>
      <w:rFonts w:ascii="Courier New" w:hAnsi="Courier New" w:cs="Courier New"/>
      <w:sz w:val="20"/>
      <w:szCs w:val="20"/>
      <w:lang w:val="en-IE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Ministère de la Santé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Houk</dc:creator>
  <cp:lastModifiedBy>mlawless</cp:lastModifiedBy>
  <cp:revision>2</cp:revision>
  <cp:lastPrinted>2015-01-27T10:20:00Z</cp:lastPrinted>
  <dcterms:created xsi:type="dcterms:W3CDTF">2015-03-04T14:15:00Z</dcterms:created>
  <dcterms:modified xsi:type="dcterms:W3CDTF">2015-03-04T14:15:00Z</dcterms:modified>
</cp:coreProperties>
</file>