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0BEA" w14:textId="31FADE8F" w:rsidR="008D016B" w:rsidRDefault="008D016B" w:rsidP="008D016B">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p>
    <w:p w14:paraId="4A887742" w14:textId="77777777" w:rsidR="00F366DD" w:rsidRPr="00F900B6" w:rsidRDefault="00F366DD" w:rsidP="008D016B">
      <w:pPr>
        <w:jc w:val="center"/>
        <w:rPr>
          <w:rFonts w:ascii="Calibri Light" w:eastAsia="Calibri Light" w:hAnsi="Calibri Light" w:cs="Calibri Light"/>
          <w:b/>
          <w:bCs/>
          <w:color w:val="7030A0"/>
          <w:sz w:val="18"/>
          <w:szCs w:val="18"/>
          <w:lang w:val="en-IE"/>
        </w:rPr>
      </w:pPr>
    </w:p>
    <w:p w14:paraId="2E70C769" w14:textId="77777777" w:rsidR="00F900B6" w:rsidRPr="00F900B6" w:rsidRDefault="00F900B6" w:rsidP="00F900B6">
      <w:pPr>
        <w:pStyle w:val="paragraph"/>
        <w:spacing w:beforeAutospacing="0" w:afterAutospacing="0"/>
        <w:textAlignment w:val="baseline"/>
        <w:rPr>
          <w:rStyle w:val="eop"/>
          <w:rFonts w:ascii="Calibri Light" w:eastAsiaTheme="minorEastAsia" w:hAnsi="Calibri Light" w:cs="Calibri Light"/>
          <w:b/>
          <w:bCs/>
        </w:rPr>
      </w:pPr>
      <w:r w:rsidRPr="00F900B6">
        <w:rPr>
          <w:rStyle w:val="normaltextrun"/>
          <w:rFonts w:ascii="Calibri Light" w:eastAsiaTheme="minorEastAsia" w:hAnsi="Calibri Light" w:cs="Calibri Light"/>
          <w:b/>
          <w:bCs/>
        </w:rPr>
        <w:t xml:space="preserve">Why is Universal Design for Learning (UDL) Important in Maynooth University? </w:t>
      </w:r>
    </w:p>
    <w:p w14:paraId="379EE1E2" w14:textId="77777777" w:rsidR="00F900B6" w:rsidRPr="00F900B6" w:rsidRDefault="00F900B6" w:rsidP="00F900B6">
      <w:pPr>
        <w:pStyle w:val="paragraph"/>
        <w:spacing w:beforeAutospacing="0" w:afterAutospacing="0"/>
        <w:textAlignment w:val="baseline"/>
        <w:rPr>
          <w:rFonts w:ascii="Calibri Light" w:eastAsia="Calibri Light" w:hAnsi="Calibri Light" w:cs="Calibri Light"/>
        </w:rPr>
      </w:pPr>
    </w:p>
    <w:p w14:paraId="11227351" w14:textId="77777777" w:rsidR="00F900B6" w:rsidRDefault="00F900B6" w:rsidP="00F900B6">
      <w:pPr>
        <w:pStyle w:val="paragraph"/>
        <w:spacing w:beforeAutospacing="0" w:afterAutospacing="0"/>
        <w:rPr>
          <w:rFonts w:ascii="Calibri Light" w:eastAsia="Calibri Light" w:hAnsi="Calibri Light" w:cs="Calibri Light"/>
        </w:rPr>
      </w:pPr>
      <w:r w:rsidRPr="00F900B6">
        <w:rPr>
          <w:rFonts w:ascii="Calibri Light" w:eastAsia="Calibri Light" w:hAnsi="Calibri Light" w:cs="Calibri Light"/>
        </w:rPr>
        <w:t xml:space="preserve">Universal Design for Learning (UDL) is important for everyone at Maynooth University because it embeds MU’s Equality, Diversity and Inclusion (EDI), and social justice strategic goals into the classroom. </w:t>
      </w:r>
    </w:p>
    <w:p w14:paraId="5592DA11" w14:textId="77777777" w:rsidR="00F900B6" w:rsidRDefault="00F900B6" w:rsidP="00F900B6">
      <w:pPr>
        <w:pStyle w:val="paragraph"/>
        <w:spacing w:beforeAutospacing="0" w:afterAutospacing="0"/>
        <w:rPr>
          <w:rFonts w:ascii="Calibri Light" w:eastAsia="Calibri Light" w:hAnsi="Calibri Light" w:cs="Calibri Light"/>
        </w:rPr>
      </w:pPr>
    </w:p>
    <w:p w14:paraId="54BE7141" w14:textId="7DC4B096" w:rsidR="00F900B6" w:rsidRPr="00F900B6" w:rsidRDefault="00F900B6" w:rsidP="00F900B6">
      <w:pPr>
        <w:pStyle w:val="paragraph"/>
        <w:spacing w:beforeAutospacing="0" w:afterAutospacing="0"/>
        <w:rPr>
          <w:rFonts w:ascii="Calibri Light" w:eastAsia="Calibri Light" w:hAnsi="Calibri Light" w:cs="Calibri Light"/>
        </w:rPr>
      </w:pPr>
      <w:r w:rsidRPr="00F900B6">
        <w:rPr>
          <w:rFonts w:ascii="Calibri Light" w:eastAsia="Calibri Light" w:hAnsi="Calibri Light" w:cs="Calibri Light"/>
        </w:rPr>
        <w:t xml:space="preserve">UDL meaningfully builds equity into MU’s learning environments, and thus is instrumental in advancing EDI actions by seeking to effectively and practically minimise barriers to learning because of race, ethnicity, class, language, neurodiversity, being physically or otherwise disabled, gender, sexuality or any other obstacles. UDL actions also support the </w:t>
      </w:r>
      <w:hyperlink r:id="rId7" w:history="1">
        <w:r w:rsidRPr="00F900B6">
          <w:rPr>
            <w:rStyle w:val="Hyperlink"/>
            <w:rFonts w:ascii="Calibri Light" w:eastAsia="Calibri Light" w:hAnsi="Calibri Light" w:cs="Calibri Light"/>
          </w:rPr>
          <w:t>HEA National Access Plan</w:t>
        </w:r>
      </w:hyperlink>
      <w:r w:rsidRPr="00F900B6">
        <w:rPr>
          <w:rFonts w:ascii="Calibri Light" w:eastAsia="Calibri Light" w:hAnsi="Calibri Light" w:cs="Calibri Light"/>
        </w:rPr>
        <w:t>, to develop and support a more inclusive learning environment for a diverse student population in higher education.</w:t>
      </w:r>
    </w:p>
    <w:p w14:paraId="290BA295" w14:textId="77777777" w:rsidR="00F900B6" w:rsidRPr="00F900B6" w:rsidRDefault="00F900B6" w:rsidP="00F900B6">
      <w:pPr>
        <w:pStyle w:val="paragraph"/>
        <w:spacing w:beforeAutospacing="0" w:afterAutospacing="0"/>
        <w:rPr>
          <w:rFonts w:ascii="Calibri Light" w:eastAsia="Calibri Light" w:hAnsi="Calibri Light" w:cs="Calibri Light"/>
        </w:rPr>
      </w:pPr>
    </w:p>
    <w:p w14:paraId="3E69020D" w14:textId="77777777" w:rsidR="00F900B6" w:rsidRPr="00F900B6" w:rsidRDefault="00F900B6" w:rsidP="00F900B6">
      <w:pPr>
        <w:pStyle w:val="paragraph"/>
        <w:spacing w:beforeAutospacing="0" w:afterAutospacing="0"/>
        <w:rPr>
          <w:rFonts w:ascii="Calibri Light" w:eastAsia="Calibri Light" w:hAnsi="Calibri Light" w:cs="Calibri Light"/>
        </w:rPr>
      </w:pPr>
      <w:r w:rsidRPr="00F900B6">
        <w:rPr>
          <w:rFonts w:ascii="Calibri Light" w:eastAsia="Calibri Light" w:hAnsi="Calibri Light" w:cs="Calibri Light"/>
        </w:rPr>
        <w:t>Through its principles and guidelines, UDL provides a way of thinking about and designing an inclusive learning environment. As such it is a support for both educators and students and is especially important in the context of Maynooth University’s unique environment.</w:t>
      </w:r>
    </w:p>
    <w:p w14:paraId="5D8070FB" w14:textId="77777777" w:rsidR="00F900B6" w:rsidRPr="00F900B6" w:rsidRDefault="00F900B6" w:rsidP="00F900B6">
      <w:pPr>
        <w:pStyle w:val="paragraph"/>
        <w:spacing w:beforeAutospacing="0" w:afterAutospacing="0"/>
        <w:rPr>
          <w:rFonts w:ascii="Calibri Light" w:eastAsia="Calibri Light" w:hAnsi="Calibri Light" w:cs="Calibri Light"/>
        </w:rPr>
      </w:pPr>
    </w:p>
    <w:p w14:paraId="237B393B" w14:textId="3FA1AE58" w:rsidR="00F900B6" w:rsidRPr="00F900B6" w:rsidRDefault="00F900B6" w:rsidP="00F900B6">
      <w:pPr>
        <w:pStyle w:val="paragraph"/>
        <w:spacing w:beforeAutospacing="0" w:afterAutospacing="0"/>
        <w:textAlignment w:val="baseline"/>
        <w:rPr>
          <w:rStyle w:val="eop"/>
          <w:rFonts w:ascii="Calibri Light" w:eastAsia="Calibri Light" w:hAnsi="Calibri Light" w:cs="Calibri Light"/>
        </w:rPr>
      </w:pPr>
      <w:r w:rsidRPr="00F900B6">
        <w:rPr>
          <w:rStyle w:val="normaltextrun"/>
          <w:rFonts w:ascii="Calibri Light" w:eastAsia="Calibri Light" w:hAnsi="Calibri Light" w:cs="Calibri Light"/>
        </w:rPr>
        <w:t xml:space="preserve">A UDL approach supports life-long learning and building community partnerships, both of which are key values at MU. UDL involves considering at design stage the diversity of the student population. This requires an understanding of the university community as a whole and an openness to working collaboratively and in partnership across units and departments, staff and students, in order to put inclusion at the heart of planning and practice. </w:t>
      </w:r>
      <w:r w:rsidRPr="00F900B6" w:rsidDel="00F671F5">
        <w:rPr>
          <w:rStyle w:val="normaltextrun"/>
          <w:rFonts w:ascii="Calibri Light" w:eastAsia="Calibri Light" w:hAnsi="Calibri Light" w:cs="Calibri Light"/>
        </w:rPr>
        <w:t>UDL</w:t>
      </w:r>
      <w:r w:rsidRPr="00F900B6">
        <w:rPr>
          <w:rStyle w:val="normaltextrun"/>
          <w:rFonts w:ascii="Calibri Light" w:eastAsia="Calibri Light" w:hAnsi="Calibri Light" w:cs="Calibri Light"/>
          <w:shd w:val="clear" w:color="auto" w:fill="FFFF00"/>
        </w:rPr>
        <w:t xml:space="preserve"> </w:t>
      </w:r>
      <w:r w:rsidRPr="00F900B6" w:rsidDel="00F671F5">
        <w:rPr>
          <w:rStyle w:val="normaltextrun"/>
          <w:rFonts w:ascii="Calibri Light" w:eastAsia="Calibri Light" w:hAnsi="Calibri Light" w:cs="Calibri Light"/>
        </w:rPr>
        <w:t>contribute</w:t>
      </w:r>
      <w:r w:rsidRPr="00F900B6">
        <w:rPr>
          <w:rStyle w:val="normaltextrun"/>
          <w:rFonts w:ascii="Calibri Light" w:eastAsia="Calibri Light" w:hAnsi="Calibri Light" w:cs="Calibri Light"/>
        </w:rPr>
        <w:t>s</w:t>
      </w:r>
      <w:r w:rsidR="008818D4">
        <w:rPr>
          <w:rStyle w:val="normaltextrun"/>
          <w:rFonts w:ascii="Calibri Light" w:eastAsia="Calibri Light" w:hAnsi="Calibri Light" w:cs="Calibri Light"/>
        </w:rPr>
        <w:t xml:space="preserve"> to the </w:t>
      </w:r>
      <w:r w:rsidRPr="00F900B6">
        <w:rPr>
          <w:rStyle w:val="normaltextrun"/>
          <w:rFonts w:ascii="Calibri Light" w:eastAsia="Calibri Light" w:hAnsi="Calibri Light" w:cs="Calibri Light"/>
        </w:rPr>
        <w:t>ongoing development of a culture of inclusion on campus</w:t>
      </w:r>
      <w:r w:rsidRPr="00F900B6" w:rsidDel="00F671F5">
        <w:rPr>
          <w:rStyle w:val="normaltextrun"/>
          <w:rFonts w:ascii="Calibri Light" w:eastAsia="Calibri Light" w:hAnsi="Calibri Light" w:cs="Calibri Light"/>
        </w:rPr>
        <w:t xml:space="preserve"> and an enactment of inclusive education</w:t>
      </w:r>
      <w:r w:rsidR="008818D4">
        <w:rPr>
          <w:rStyle w:val="normaltextrun"/>
          <w:rFonts w:ascii="Calibri Light" w:eastAsia="Calibri Light" w:hAnsi="Calibri Light" w:cs="Calibri Light"/>
        </w:rPr>
        <w:t xml:space="preserve"> through increased student engagement</w:t>
      </w:r>
      <w:r w:rsidRPr="00F900B6" w:rsidDel="00F671F5">
        <w:rPr>
          <w:rStyle w:val="normaltextrun"/>
          <w:rFonts w:ascii="Calibri Light" w:eastAsia="Calibri Light" w:hAnsi="Calibri Light" w:cs="Calibri Light"/>
        </w:rPr>
        <w:t xml:space="preserve"> </w:t>
      </w:r>
      <w:r w:rsidRPr="00F900B6">
        <w:rPr>
          <w:rStyle w:val="normaltextrun"/>
          <w:rFonts w:ascii="Calibri Light" w:eastAsia="Calibri Light" w:hAnsi="Calibri Light" w:cs="Calibri Light"/>
        </w:rPr>
        <w:t>and</w:t>
      </w:r>
      <w:r w:rsidR="008818D4">
        <w:rPr>
          <w:rStyle w:val="normaltextrun"/>
          <w:rFonts w:ascii="Calibri Light" w:eastAsia="Calibri Light" w:hAnsi="Calibri Light" w:cs="Calibri Light"/>
        </w:rPr>
        <w:t xml:space="preserve"> more impactful learning experiences, </w:t>
      </w:r>
      <w:r w:rsidRPr="00F900B6">
        <w:rPr>
          <w:rStyle w:val="normaltextrun"/>
          <w:rFonts w:ascii="Calibri Light" w:eastAsia="Calibri Light" w:hAnsi="Calibri Light" w:cs="Calibri Light"/>
        </w:rPr>
        <w:t xml:space="preserve">which significantly </w:t>
      </w:r>
      <w:r w:rsidRPr="00F900B6" w:rsidDel="00F671F5">
        <w:rPr>
          <w:rStyle w:val="normaltextrun"/>
          <w:rFonts w:ascii="Calibri Light" w:eastAsia="Calibri Light" w:hAnsi="Calibri Light" w:cs="Calibri Light"/>
        </w:rPr>
        <w:t xml:space="preserve">contribute </w:t>
      </w:r>
      <w:r w:rsidRPr="00F900B6">
        <w:rPr>
          <w:rStyle w:val="normaltextrun"/>
          <w:rFonts w:ascii="Calibri Light" w:eastAsia="Calibri Light" w:hAnsi="Calibri Light" w:cs="Calibri Light"/>
        </w:rPr>
        <w:t xml:space="preserve">towards </w:t>
      </w:r>
      <w:r w:rsidRPr="00F900B6" w:rsidDel="00F671F5">
        <w:rPr>
          <w:rStyle w:val="normaltextrun"/>
          <w:rFonts w:ascii="Calibri Light" w:eastAsia="Calibri Light" w:hAnsi="Calibri Light" w:cs="Calibri Light"/>
        </w:rPr>
        <w:t xml:space="preserve">better student </w:t>
      </w:r>
      <w:r w:rsidRPr="00F900B6">
        <w:rPr>
          <w:rStyle w:val="normaltextrun"/>
          <w:rFonts w:ascii="Calibri Light" w:eastAsia="Calibri Light" w:hAnsi="Calibri Light" w:cs="Calibri Light"/>
        </w:rPr>
        <w:t>educational outcomes.</w:t>
      </w:r>
      <w:r w:rsidRPr="00F900B6">
        <w:rPr>
          <w:rStyle w:val="eop"/>
          <w:rFonts w:ascii="Calibri Light" w:eastAsia="Calibri Light" w:hAnsi="Calibri Light" w:cs="Calibri Light"/>
        </w:rPr>
        <w:t> </w:t>
      </w:r>
    </w:p>
    <w:p w14:paraId="494F636D" w14:textId="77777777" w:rsidR="00F900B6" w:rsidRPr="00F900B6" w:rsidRDefault="00F900B6" w:rsidP="00F900B6">
      <w:pPr>
        <w:pStyle w:val="paragraph"/>
        <w:spacing w:beforeAutospacing="0" w:afterAutospacing="0"/>
        <w:rPr>
          <w:rStyle w:val="eop"/>
          <w:rFonts w:ascii="Calibri Light" w:eastAsia="Calibri Light" w:hAnsi="Calibri Light" w:cs="Calibri Light"/>
        </w:rPr>
      </w:pPr>
    </w:p>
    <w:p w14:paraId="05A62205" w14:textId="77777777" w:rsidR="00F900B6" w:rsidRPr="00F900B6" w:rsidRDefault="00F900B6" w:rsidP="00F900B6">
      <w:pPr>
        <w:pStyle w:val="paragraph"/>
        <w:spacing w:beforeAutospacing="0" w:afterAutospacing="0"/>
        <w:rPr>
          <w:rStyle w:val="eop"/>
          <w:rFonts w:ascii="Calibri Light" w:eastAsia="Calibri Light" w:hAnsi="Calibri Light" w:cs="Calibri Light"/>
          <w:b/>
          <w:bCs/>
        </w:rPr>
      </w:pPr>
      <w:r w:rsidRPr="00F900B6">
        <w:rPr>
          <w:rStyle w:val="eop"/>
          <w:rFonts w:ascii="Calibri Light" w:eastAsia="Calibri Light" w:hAnsi="Calibri Light" w:cs="Calibri Light"/>
          <w:b/>
          <w:bCs/>
        </w:rPr>
        <w:t>References</w:t>
      </w:r>
    </w:p>
    <w:p w14:paraId="5173CFFD" w14:textId="77777777" w:rsidR="00F900B6" w:rsidRPr="00F900B6" w:rsidRDefault="00F900B6" w:rsidP="00F900B6">
      <w:pPr>
        <w:pStyle w:val="paragraph"/>
        <w:spacing w:beforeAutospacing="0" w:afterAutospacing="0"/>
        <w:rPr>
          <w:rStyle w:val="eop"/>
          <w:rFonts w:ascii="Calibri Light" w:eastAsia="Calibri Light" w:hAnsi="Calibri Light" w:cs="Calibri Light"/>
        </w:rPr>
      </w:pPr>
    </w:p>
    <w:p w14:paraId="62FF0343" w14:textId="77777777" w:rsidR="00F900B6" w:rsidRPr="00F900B6" w:rsidRDefault="00F900B6" w:rsidP="00F900B6">
      <w:pPr>
        <w:pStyle w:val="paragraph"/>
        <w:spacing w:beforeAutospacing="0" w:afterAutospacing="0"/>
        <w:rPr>
          <w:rFonts w:ascii="Calibri Light" w:eastAsia="Calibri Light" w:hAnsi="Calibri Light" w:cs="Calibri Light"/>
          <w:lang w:val="en-GB"/>
        </w:rPr>
      </w:pPr>
      <w:r w:rsidRPr="00F900B6">
        <w:rPr>
          <w:rFonts w:ascii="Calibri Light" w:eastAsia="Calibri Light" w:hAnsi="Calibri Light" w:cs="Calibri Light"/>
        </w:rPr>
        <w:t xml:space="preserve">Higher Education Authority (2022) National Access Plan. </w:t>
      </w:r>
      <w:r w:rsidRPr="00F900B6">
        <w:rPr>
          <w:rFonts w:ascii="Calibri Light" w:eastAsia="Calibri Light" w:hAnsi="Calibri Light" w:cs="Calibri Light"/>
          <w:lang w:val="en-GB"/>
        </w:rPr>
        <w:t>A Strategic Action Plan for Equity of Access, Participation and Success in Higher Education 2022–2028</w:t>
      </w:r>
      <w:r w:rsidRPr="00F900B6">
        <w:rPr>
          <w:rFonts w:ascii="Calibri Light" w:eastAsia="Calibri Light" w:hAnsi="Calibri Light" w:cs="Calibri Light"/>
        </w:rPr>
        <w:t xml:space="preserve">. Accessible at: </w:t>
      </w:r>
      <w:hyperlink r:id="rId8">
        <w:r w:rsidRPr="00F900B6">
          <w:rPr>
            <w:rStyle w:val="Hyperlink"/>
            <w:rFonts w:ascii="Calibri Light" w:eastAsia="Calibri Light" w:hAnsi="Calibri Light" w:cs="Calibri Light"/>
          </w:rPr>
          <w:t>https://hea.ie/assets/uploads/2022/12/National-Access-Plan-2022-2028-FINAL.pdf</w:t>
        </w:r>
      </w:hyperlink>
    </w:p>
    <w:p w14:paraId="51175B48" w14:textId="255E0AA0" w:rsidR="00806E4F" w:rsidRPr="00F900B6" w:rsidRDefault="00806E4F" w:rsidP="00806E4F">
      <w:pPr>
        <w:pStyle w:val="paragraph"/>
        <w:rPr>
          <w:rFonts w:ascii="Calibri Light" w:eastAsia="Calibri Light" w:hAnsi="Calibri Light" w:cs="Calibri Light"/>
          <w:b/>
          <w:bCs/>
          <w:lang w:val="en-GB"/>
        </w:rPr>
      </w:pPr>
      <w:r w:rsidRPr="00F900B6">
        <w:rPr>
          <w:rFonts w:ascii="Calibri Light" w:eastAsia="Calibri Light" w:hAnsi="Calibri Light" w:cs="Calibri Light"/>
          <w:b/>
          <w:bCs/>
          <w:lang w:val="en-GB"/>
        </w:rPr>
        <w:t>How to cite this document</w:t>
      </w:r>
    </w:p>
    <w:p w14:paraId="2B94756B" w14:textId="47F9E64B" w:rsidR="00806E4F" w:rsidRPr="00C95C6E" w:rsidRDefault="00806E4F" w:rsidP="00806E4F">
      <w:pPr>
        <w:pStyle w:val="paragraph"/>
        <w:rPr>
          <w:rFonts w:ascii="Calibri Light" w:eastAsia="Calibri Light" w:hAnsi="Calibri Light" w:cs="Calibri Light"/>
        </w:rPr>
      </w:pPr>
      <w:r w:rsidRPr="00F900B6">
        <w:rPr>
          <w:rFonts w:ascii="Calibri Light" w:eastAsia="Calibri Light" w:hAnsi="Calibri Light" w:cs="Calibri Light"/>
          <w:lang w:val="en-GB"/>
        </w:rPr>
        <w:t xml:space="preserve">Maynooth University UDL Teaching and Learning Fellows (2024). </w:t>
      </w:r>
      <w:r w:rsidR="00F366DD" w:rsidRPr="00F900B6">
        <w:rPr>
          <w:rFonts w:ascii="Calibri Light" w:eastAsia="Calibri Light" w:hAnsi="Calibri Light" w:cs="Calibri Light"/>
          <w:i/>
          <w:iCs/>
          <w:lang w:val="en-GB"/>
        </w:rPr>
        <w:t>Wh</w:t>
      </w:r>
      <w:r w:rsidR="00F900B6" w:rsidRPr="00F900B6">
        <w:rPr>
          <w:rFonts w:ascii="Calibri Light" w:eastAsia="Calibri Light" w:hAnsi="Calibri Light" w:cs="Calibri Light"/>
          <w:i/>
          <w:iCs/>
          <w:lang w:val="en-GB"/>
        </w:rPr>
        <w:t xml:space="preserve">y is UDL Important in Maynooth </w:t>
      </w:r>
      <w:proofErr w:type="gramStart"/>
      <w:r w:rsidR="00F900B6" w:rsidRPr="00F900B6">
        <w:rPr>
          <w:rFonts w:ascii="Calibri Light" w:eastAsia="Calibri Light" w:hAnsi="Calibri Light" w:cs="Calibri Light"/>
          <w:i/>
          <w:iCs/>
          <w:lang w:val="en-GB"/>
        </w:rPr>
        <w:t>University</w:t>
      </w:r>
      <w:r w:rsidR="001A310C">
        <w:rPr>
          <w:rFonts w:ascii="Calibri Light" w:eastAsia="Calibri Light" w:hAnsi="Calibri Light" w:cs="Calibri Light"/>
          <w:i/>
          <w:iCs/>
          <w:lang w:val="en-GB"/>
        </w:rPr>
        <w:t>?</w:t>
      </w:r>
      <w:r w:rsidRPr="00F900B6">
        <w:rPr>
          <w:rFonts w:ascii="Calibri Light" w:eastAsia="Calibri Light" w:hAnsi="Calibri Light" w:cs="Calibri Light"/>
          <w:lang w:val="en-GB"/>
        </w:rPr>
        <w:t>,</w:t>
      </w:r>
      <w:proofErr w:type="gramEnd"/>
      <w:r w:rsidRPr="00F900B6">
        <w:rPr>
          <w:rFonts w:ascii="Calibri Light" w:eastAsia="Calibri Light" w:hAnsi="Calibri Light" w:cs="Calibri Light"/>
          <w:lang w:val="en-GB"/>
        </w:rPr>
        <w:t xml:space="preserve"> Maynooth: Centre for Teaching and Learning, Maynooth University</w:t>
      </w:r>
      <w:r w:rsidRPr="22820AEC">
        <w:rPr>
          <w:rFonts w:ascii="Calibri Light" w:eastAsia="Calibri Light" w:hAnsi="Calibri Light" w:cs="Calibri Light"/>
          <w:lang w:val="en-GB"/>
        </w:rPr>
        <w:t>.</w:t>
      </w:r>
      <w:r w:rsidRPr="22820AEC">
        <w:rPr>
          <w:rFonts w:ascii="Calibri Light" w:eastAsia="Calibri Light" w:hAnsi="Calibri Light" w:cs="Calibri Light"/>
        </w:rPr>
        <w:t> </w:t>
      </w: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14498B14" w14:textId="4F1FD913"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5904A1A3">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0"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1B6551">
      <w:pgSz w:w="11906" w:h="16838"/>
      <w:pgMar w:top="1440" w:right="1440" w:bottom="2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AE30" w14:textId="77777777" w:rsidR="001B6551" w:rsidRDefault="001B6551" w:rsidP="004D1508">
      <w:r>
        <w:separator/>
      </w:r>
    </w:p>
  </w:endnote>
  <w:endnote w:type="continuationSeparator" w:id="0">
    <w:p w14:paraId="1DA9BF87" w14:textId="77777777" w:rsidR="001B6551" w:rsidRDefault="001B6551"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5F3F" w14:textId="77777777" w:rsidR="001B6551" w:rsidRDefault="001B6551" w:rsidP="004D1508">
      <w:r>
        <w:separator/>
      </w:r>
    </w:p>
  </w:footnote>
  <w:footnote w:type="continuationSeparator" w:id="0">
    <w:p w14:paraId="67BD55C0" w14:textId="77777777" w:rsidR="001B6551" w:rsidRDefault="001B6551"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782C"/>
    <w:multiLevelType w:val="hybridMultilevel"/>
    <w:tmpl w:val="A91C23B2"/>
    <w:lvl w:ilvl="0" w:tplc="BE16C830">
      <w:start w:val="1"/>
      <w:numFmt w:val="decimal"/>
      <w:lvlText w:val="%1."/>
      <w:lvlJc w:val="left"/>
      <w:pPr>
        <w:ind w:left="360" w:hanging="360"/>
      </w:pPr>
    </w:lvl>
    <w:lvl w:ilvl="1" w:tplc="8DA22602">
      <w:start w:val="1"/>
      <w:numFmt w:val="lowerLetter"/>
      <w:lvlText w:val="%2."/>
      <w:lvlJc w:val="left"/>
      <w:pPr>
        <w:ind w:left="720" w:hanging="360"/>
      </w:pPr>
    </w:lvl>
    <w:lvl w:ilvl="2" w:tplc="9614E1B6">
      <w:start w:val="1"/>
      <w:numFmt w:val="lowerRoman"/>
      <w:lvlText w:val="%3."/>
      <w:lvlJc w:val="right"/>
      <w:pPr>
        <w:ind w:left="1440" w:hanging="180"/>
      </w:pPr>
    </w:lvl>
    <w:lvl w:ilvl="3" w:tplc="AA34F9FC">
      <w:start w:val="1"/>
      <w:numFmt w:val="decimal"/>
      <w:lvlText w:val="%4."/>
      <w:lvlJc w:val="left"/>
      <w:pPr>
        <w:ind w:left="2160" w:hanging="360"/>
      </w:pPr>
    </w:lvl>
    <w:lvl w:ilvl="4" w:tplc="00E8FD92">
      <w:start w:val="1"/>
      <w:numFmt w:val="lowerLetter"/>
      <w:lvlText w:val="%5."/>
      <w:lvlJc w:val="left"/>
      <w:pPr>
        <w:ind w:left="2880" w:hanging="360"/>
      </w:pPr>
    </w:lvl>
    <w:lvl w:ilvl="5" w:tplc="8ADED90C">
      <w:start w:val="1"/>
      <w:numFmt w:val="lowerRoman"/>
      <w:lvlText w:val="%6."/>
      <w:lvlJc w:val="right"/>
      <w:pPr>
        <w:ind w:left="3600" w:hanging="180"/>
      </w:pPr>
    </w:lvl>
    <w:lvl w:ilvl="6" w:tplc="1EA05212">
      <w:start w:val="1"/>
      <w:numFmt w:val="decimal"/>
      <w:lvlText w:val="%7."/>
      <w:lvlJc w:val="left"/>
      <w:pPr>
        <w:ind w:left="4320" w:hanging="360"/>
      </w:pPr>
    </w:lvl>
    <w:lvl w:ilvl="7" w:tplc="F01293E6">
      <w:start w:val="1"/>
      <w:numFmt w:val="lowerLetter"/>
      <w:lvlText w:val="%8."/>
      <w:lvlJc w:val="left"/>
      <w:pPr>
        <w:ind w:left="5040" w:hanging="360"/>
      </w:pPr>
    </w:lvl>
    <w:lvl w:ilvl="8" w:tplc="84F41F26">
      <w:start w:val="1"/>
      <w:numFmt w:val="lowerRoman"/>
      <w:lvlText w:val="%9."/>
      <w:lvlJc w:val="right"/>
      <w:pPr>
        <w:ind w:left="5760" w:hanging="180"/>
      </w:pPr>
    </w:lvl>
  </w:abstractNum>
  <w:abstractNum w:abstractNumId="1" w15:restartNumberingAfterBreak="0">
    <w:nsid w:val="10EB4370"/>
    <w:multiLevelType w:val="hybridMultilevel"/>
    <w:tmpl w:val="BFBE8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5E36301"/>
    <w:multiLevelType w:val="hybridMultilevel"/>
    <w:tmpl w:val="B5D06F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F582B4E"/>
    <w:multiLevelType w:val="hybridMultilevel"/>
    <w:tmpl w:val="322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9395F"/>
    <w:multiLevelType w:val="hybridMultilevel"/>
    <w:tmpl w:val="5516A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553803A"/>
    <w:multiLevelType w:val="hybridMultilevel"/>
    <w:tmpl w:val="25604B16"/>
    <w:lvl w:ilvl="0" w:tplc="EA24196A">
      <w:start w:val="1"/>
      <w:numFmt w:val="bullet"/>
      <w:lvlText w:val=""/>
      <w:lvlJc w:val="left"/>
      <w:pPr>
        <w:ind w:left="720" w:hanging="360"/>
      </w:pPr>
      <w:rPr>
        <w:rFonts w:ascii="Symbol" w:hAnsi="Symbol" w:hint="default"/>
      </w:rPr>
    </w:lvl>
    <w:lvl w:ilvl="1" w:tplc="759ECB60">
      <w:start w:val="1"/>
      <w:numFmt w:val="bullet"/>
      <w:lvlText w:val="o"/>
      <w:lvlJc w:val="left"/>
      <w:pPr>
        <w:ind w:left="1440" w:hanging="360"/>
      </w:pPr>
      <w:rPr>
        <w:rFonts w:ascii="Courier New" w:hAnsi="Courier New" w:hint="default"/>
      </w:rPr>
    </w:lvl>
    <w:lvl w:ilvl="2" w:tplc="9554369A">
      <w:start w:val="1"/>
      <w:numFmt w:val="bullet"/>
      <w:lvlText w:val=""/>
      <w:lvlJc w:val="left"/>
      <w:pPr>
        <w:ind w:left="2160" w:hanging="360"/>
      </w:pPr>
      <w:rPr>
        <w:rFonts w:ascii="Wingdings" w:hAnsi="Wingdings" w:hint="default"/>
      </w:rPr>
    </w:lvl>
    <w:lvl w:ilvl="3" w:tplc="0CDA833A">
      <w:start w:val="1"/>
      <w:numFmt w:val="bullet"/>
      <w:lvlText w:val=""/>
      <w:lvlJc w:val="left"/>
      <w:pPr>
        <w:ind w:left="2880" w:hanging="360"/>
      </w:pPr>
      <w:rPr>
        <w:rFonts w:ascii="Symbol" w:hAnsi="Symbol" w:hint="default"/>
      </w:rPr>
    </w:lvl>
    <w:lvl w:ilvl="4" w:tplc="E7B6B25E">
      <w:start w:val="1"/>
      <w:numFmt w:val="bullet"/>
      <w:lvlText w:val="o"/>
      <w:lvlJc w:val="left"/>
      <w:pPr>
        <w:ind w:left="3600" w:hanging="360"/>
      </w:pPr>
      <w:rPr>
        <w:rFonts w:ascii="Courier New" w:hAnsi="Courier New" w:hint="default"/>
      </w:rPr>
    </w:lvl>
    <w:lvl w:ilvl="5" w:tplc="2C122BD8">
      <w:start w:val="1"/>
      <w:numFmt w:val="bullet"/>
      <w:lvlText w:val=""/>
      <w:lvlJc w:val="left"/>
      <w:pPr>
        <w:ind w:left="4320" w:hanging="360"/>
      </w:pPr>
      <w:rPr>
        <w:rFonts w:ascii="Wingdings" w:hAnsi="Wingdings" w:hint="default"/>
      </w:rPr>
    </w:lvl>
    <w:lvl w:ilvl="6" w:tplc="63DAF94E">
      <w:start w:val="1"/>
      <w:numFmt w:val="bullet"/>
      <w:lvlText w:val=""/>
      <w:lvlJc w:val="left"/>
      <w:pPr>
        <w:ind w:left="5040" w:hanging="360"/>
      </w:pPr>
      <w:rPr>
        <w:rFonts w:ascii="Symbol" w:hAnsi="Symbol" w:hint="default"/>
      </w:rPr>
    </w:lvl>
    <w:lvl w:ilvl="7" w:tplc="F280AF36">
      <w:start w:val="1"/>
      <w:numFmt w:val="bullet"/>
      <w:lvlText w:val="o"/>
      <w:lvlJc w:val="left"/>
      <w:pPr>
        <w:ind w:left="5760" w:hanging="360"/>
      </w:pPr>
      <w:rPr>
        <w:rFonts w:ascii="Courier New" w:hAnsi="Courier New" w:hint="default"/>
      </w:rPr>
    </w:lvl>
    <w:lvl w:ilvl="8" w:tplc="34AC3266">
      <w:start w:val="1"/>
      <w:numFmt w:val="bullet"/>
      <w:lvlText w:val=""/>
      <w:lvlJc w:val="left"/>
      <w:pPr>
        <w:ind w:left="6480" w:hanging="360"/>
      </w:pPr>
      <w:rPr>
        <w:rFonts w:ascii="Wingdings" w:hAnsi="Wingdings" w:hint="default"/>
      </w:rPr>
    </w:lvl>
  </w:abstractNum>
  <w:num w:numId="1" w16cid:durableId="1403478605">
    <w:abstractNumId w:val="4"/>
  </w:num>
  <w:num w:numId="2" w16cid:durableId="2062096038">
    <w:abstractNumId w:val="3"/>
  </w:num>
  <w:num w:numId="3" w16cid:durableId="1954897594">
    <w:abstractNumId w:val="0"/>
  </w:num>
  <w:num w:numId="4" w16cid:durableId="1116871164">
    <w:abstractNumId w:val="2"/>
  </w:num>
  <w:num w:numId="5" w16cid:durableId="1552691380">
    <w:abstractNumId w:val="5"/>
  </w:num>
  <w:num w:numId="6" w16cid:durableId="473761855">
    <w:abstractNumId w:val="1"/>
  </w:num>
  <w:num w:numId="7" w16cid:durableId="2083522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B4D5A"/>
    <w:rsid w:val="001A310C"/>
    <w:rsid w:val="001B6551"/>
    <w:rsid w:val="00353292"/>
    <w:rsid w:val="00363BB6"/>
    <w:rsid w:val="004D1508"/>
    <w:rsid w:val="004E7701"/>
    <w:rsid w:val="00753AD6"/>
    <w:rsid w:val="007A2332"/>
    <w:rsid w:val="00806E4F"/>
    <w:rsid w:val="00870933"/>
    <w:rsid w:val="008818D4"/>
    <w:rsid w:val="008D016B"/>
    <w:rsid w:val="00964D33"/>
    <w:rsid w:val="00B24C9B"/>
    <w:rsid w:val="00B96AE4"/>
    <w:rsid w:val="00C66350"/>
    <w:rsid w:val="00D019F9"/>
    <w:rsid w:val="00E8427D"/>
    <w:rsid w:val="00F366DD"/>
    <w:rsid w:val="00F900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E8427D"/>
  </w:style>
  <w:style w:type="character" w:customStyle="1" w:styleId="eop">
    <w:name w:val="eop"/>
    <w:basedOn w:val="DefaultParagraphFont"/>
    <w:rsid w:val="00E8427D"/>
  </w:style>
  <w:style w:type="character" w:styleId="Hyperlink">
    <w:name w:val="Hyperlink"/>
    <w:basedOn w:val="DefaultParagraphFont"/>
    <w:uiPriority w:val="99"/>
    <w:unhideWhenUsed/>
    <w:rsid w:val="00E8427D"/>
    <w:rPr>
      <w:color w:val="467886" w:themeColor="hyperlink"/>
      <w:u w:val="single"/>
    </w:rPr>
  </w:style>
  <w:style w:type="character" w:customStyle="1" w:styleId="apple-converted-space">
    <w:name w:val="apple-converted-space"/>
    <w:basedOn w:val="DefaultParagraphFont"/>
    <w:rsid w:val="00E8427D"/>
  </w:style>
  <w:style w:type="paragraph" w:customStyle="1" w:styleId="dx-doi">
    <w:name w:val="dx-doi"/>
    <w:basedOn w:val="Normal"/>
    <w:rsid w:val="00E8427D"/>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FollowedHyperlink">
    <w:name w:val="FollowedHyperlink"/>
    <w:basedOn w:val="DefaultParagraphFont"/>
    <w:uiPriority w:val="99"/>
    <w:semiHidden/>
    <w:unhideWhenUsed/>
    <w:rsid w:val="00E8427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ie/assets/uploads/2022/12/National-Access-Plan-2022-2028-FINAL.pd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hea.ie/assets/uploads/2022/12/National-Access-Plan-2022-2028-FINAL.pdf"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5</cp:revision>
  <dcterms:created xsi:type="dcterms:W3CDTF">2024-04-05T16:09:00Z</dcterms:created>
  <dcterms:modified xsi:type="dcterms:W3CDTF">2024-04-08T09:42:00Z</dcterms:modified>
</cp:coreProperties>
</file>