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30AD" w14:textId="243C9CEA" w:rsidR="00D022F8" w:rsidRPr="001A216A" w:rsidRDefault="000E378B" w:rsidP="00D022F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Stitching Childhood</w:t>
      </w:r>
    </w:p>
    <w:p w14:paraId="2CDF94FB" w14:textId="080F3EEB" w:rsidR="00D022F8" w:rsidRPr="001A216A" w:rsidRDefault="00D022F8" w:rsidP="00D022F8">
      <w:pPr>
        <w:rPr>
          <w:rFonts w:cstheme="minorHAnsi"/>
          <w:b/>
          <w:bCs/>
          <w:sz w:val="24"/>
          <w:szCs w:val="24"/>
        </w:rPr>
      </w:pPr>
      <w:r w:rsidRPr="001A216A">
        <w:rPr>
          <w:rFonts w:cstheme="minorHAnsi"/>
          <w:b/>
          <w:bCs/>
          <w:sz w:val="24"/>
          <w:szCs w:val="24"/>
        </w:rPr>
        <w:t xml:space="preserve">1. Presenters: </w:t>
      </w:r>
    </w:p>
    <w:p w14:paraId="79E8412F" w14:textId="2D30EA3B" w:rsidR="00D022F8" w:rsidRPr="001A216A" w:rsidRDefault="00D022F8" w:rsidP="00D022F8">
      <w:pPr>
        <w:rPr>
          <w:rFonts w:cstheme="minorHAnsi"/>
          <w:b/>
          <w:bCs/>
          <w:sz w:val="24"/>
          <w:szCs w:val="24"/>
        </w:rPr>
      </w:pPr>
      <w:r w:rsidRPr="001A216A">
        <w:rPr>
          <w:rFonts w:cstheme="minorHAnsi"/>
          <w:sz w:val="24"/>
          <w:szCs w:val="24"/>
        </w:rPr>
        <w:t xml:space="preserve">Jane </w:t>
      </w:r>
      <w:proofErr w:type="spellStart"/>
      <w:r w:rsidRPr="001A216A">
        <w:rPr>
          <w:rFonts w:cstheme="minorHAnsi"/>
          <w:sz w:val="24"/>
          <w:szCs w:val="24"/>
        </w:rPr>
        <w:t>Whinnett</w:t>
      </w:r>
      <w:proofErr w:type="spellEnd"/>
      <w:r w:rsidRPr="001A216A">
        <w:rPr>
          <w:rFonts w:cstheme="minorHAnsi"/>
          <w:sz w:val="24"/>
          <w:szCs w:val="24"/>
        </w:rPr>
        <w:t>:</w:t>
      </w:r>
      <w:r w:rsidRPr="001A216A">
        <w:rPr>
          <w:rFonts w:cstheme="minorHAnsi"/>
          <w:b/>
          <w:bCs/>
          <w:sz w:val="24"/>
          <w:szCs w:val="24"/>
        </w:rPr>
        <w:t xml:space="preserve">  </w:t>
      </w:r>
    </w:p>
    <w:p w14:paraId="3DDB400D" w14:textId="445C8A42" w:rsidR="00D022F8" w:rsidRPr="001A216A" w:rsidRDefault="00D022F8" w:rsidP="00D022F8">
      <w:pPr>
        <w:rPr>
          <w:rFonts w:cstheme="minorHAnsi"/>
          <w:b/>
          <w:bCs/>
          <w:sz w:val="24"/>
          <w:szCs w:val="24"/>
          <w:lang w:val="it-IT"/>
        </w:rPr>
      </w:pPr>
      <w:r w:rsidRPr="001A216A">
        <w:rPr>
          <w:rFonts w:cstheme="minorHAnsi"/>
          <w:sz w:val="24"/>
          <w:szCs w:val="24"/>
          <w:lang w:val="it-IT"/>
        </w:rPr>
        <w:t>Catriona Gill:</w:t>
      </w:r>
      <w:r w:rsidRPr="001A216A">
        <w:rPr>
          <w:rFonts w:cstheme="minorHAnsi"/>
          <w:b/>
          <w:bCs/>
          <w:sz w:val="24"/>
          <w:szCs w:val="24"/>
          <w:lang w:val="it-IT"/>
        </w:rPr>
        <w:t xml:space="preserve"> </w:t>
      </w:r>
    </w:p>
    <w:p w14:paraId="16799EA6" w14:textId="1FA06BE7" w:rsidR="00D022F8" w:rsidRPr="001A216A" w:rsidRDefault="00D022F8" w:rsidP="00D022F8">
      <w:pPr>
        <w:rPr>
          <w:rFonts w:cstheme="minorHAnsi"/>
          <w:sz w:val="24"/>
          <w:szCs w:val="24"/>
        </w:rPr>
      </w:pPr>
      <w:r w:rsidRPr="001A216A">
        <w:rPr>
          <w:rFonts w:cstheme="minorHAnsi"/>
          <w:sz w:val="24"/>
          <w:szCs w:val="24"/>
        </w:rPr>
        <w:t>Affiliated to the Edinburgh Froebel Network.</w:t>
      </w:r>
    </w:p>
    <w:p w14:paraId="5312AC42" w14:textId="5A25B3D2" w:rsidR="00D022F8" w:rsidRPr="001A216A" w:rsidRDefault="00D022F8" w:rsidP="00D022F8">
      <w:pPr>
        <w:rPr>
          <w:rFonts w:cstheme="minorHAnsi"/>
          <w:b/>
          <w:bCs/>
          <w:sz w:val="24"/>
          <w:szCs w:val="24"/>
        </w:rPr>
      </w:pPr>
      <w:r w:rsidRPr="001A216A">
        <w:rPr>
          <w:rFonts w:cstheme="minorHAnsi"/>
          <w:b/>
          <w:bCs/>
          <w:sz w:val="24"/>
          <w:szCs w:val="24"/>
        </w:rPr>
        <w:t>3. Abstract</w:t>
      </w:r>
    </w:p>
    <w:p w14:paraId="2533695C" w14:textId="7888F56A" w:rsidR="00AE7707" w:rsidRPr="001A216A" w:rsidRDefault="008E25DC" w:rsidP="00D022F8">
      <w:pPr>
        <w:rPr>
          <w:rFonts w:cstheme="minorHAnsi"/>
          <w:b/>
          <w:bCs/>
          <w:sz w:val="24"/>
          <w:szCs w:val="24"/>
        </w:rPr>
      </w:pPr>
      <w:r w:rsidRPr="001A216A">
        <w:rPr>
          <w:rFonts w:cstheme="minorHAnsi"/>
          <w:b/>
          <w:bCs/>
          <w:sz w:val="24"/>
          <w:szCs w:val="24"/>
        </w:rPr>
        <w:t>Stitching Childhood</w:t>
      </w:r>
      <w:r w:rsidR="00B6179E" w:rsidRPr="001A216A">
        <w:rPr>
          <w:rFonts w:cstheme="minorHAnsi"/>
          <w:b/>
          <w:bCs/>
          <w:sz w:val="24"/>
          <w:szCs w:val="24"/>
        </w:rPr>
        <w:t xml:space="preserve">: </w:t>
      </w:r>
      <w:r w:rsidR="00AE7707" w:rsidRPr="001A216A">
        <w:rPr>
          <w:rFonts w:cstheme="minorHAnsi"/>
          <w:b/>
          <w:bCs/>
          <w:sz w:val="24"/>
          <w:szCs w:val="24"/>
        </w:rPr>
        <w:t>Using the Froebelian occupation of sewing to explore</w:t>
      </w:r>
      <w:r w:rsidR="0048260C" w:rsidRPr="001A216A">
        <w:rPr>
          <w:rFonts w:cstheme="minorHAnsi"/>
          <w:b/>
          <w:bCs/>
          <w:sz w:val="24"/>
          <w:szCs w:val="24"/>
        </w:rPr>
        <w:t xml:space="preserve"> Froebelian</w:t>
      </w:r>
      <w:r w:rsidR="00AE7707" w:rsidRPr="001A216A">
        <w:rPr>
          <w:rFonts w:cstheme="minorHAnsi"/>
          <w:b/>
          <w:bCs/>
          <w:sz w:val="24"/>
          <w:szCs w:val="24"/>
        </w:rPr>
        <w:t xml:space="preserve"> educators’ </w:t>
      </w:r>
      <w:r w:rsidR="00DA0712" w:rsidRPr="001A216A">
        <w:rPr>
          <w:rFonts w:cstheme="minorHAnsi"/>
          <w:b/>
          <w:bCs/>
          <w:sz w:val="24"/>
          <w:szCs w:val="24"/>
        </w:rPr>
        <w:t xml:space="preserve">concepts or </w:t>
      </w:r>
      <w:r w:rsidR="00AE7707" w:rsidRPr="001A216A">
        <w:rPr>
          <w:rFonts w:cstheme="minorHAnsi"/>
          <w:b/>
          <w:bCs/>
          <w:sz w:val="24"/>
          <w:szCs w:val="24"/>
        </w:rPr>
        <w:t>views of childhood today.</w:t>
      </w:r>
    </w:p>
    <w:p w14:paraId="56FEA1C4" w14:textId="142C41C5" w:rsidR="00634819" w:rsidRPr="001A216A" w:rsidRDefault="00A1203C">
      <w:pPr>
        <w:rPr>
          <w:rFonts w:cstheme="minorHAnsi"/>
          <w:sz w:val="24"/>
          <w:szCs w:val="24"/>
        </w:rPr>
      </w:pPr>
      <w:r w:rsidRPr="001A216A">
        <w:rPr>
          <w:rFonts w:cstheme="minorHAnsi"/>
          <w:sz w:val="24"/>
          <w:szCs w:val="24"/>
        </w:rPr>
        <w:t>Froebel ‘acknowledge[</w:t>
      </w:r>
      <w:r w:rsidR="00634819" w:rsidRPr="001A216A">
        <w:rPr>
          <w:rFonts w:cstheme="minorHAnsi"/>
          <w:sz w:val="24"/>
          <w:szCs w:val="24"/>
        </w:rPr>
        <w:t>d</w:t>
      </w:r>
      <w:r w:rsidRPr="001A216A">
        <w:rPr>
          <w:rFonts w:cstheme="minorHAnsi"/>
          <w:sz w:val="24"/>
          <w:szCs w:val="24"/>
        </w:rPr>
        <w:t xml:space="preserve">] the dignity of the child, of childhood, and of the life of childhood; not as single and isolated, but as a whole, complete within itself’ </w:t>
      </w:r>
      <w:sdt>
        <w:sdtPr>
          <w:rPr>
            <w:rFonts w:cstheme="minorHAnsi"/>
            <w:sz w:val="24"/>
            <w:szCs w:val="24"/>
          </w:rPr>
          <w:id w:val="1800258674"/>
          <w:citation/>
        </w:sdtPr>
        <w:sdtEndPr/>
        <w:sdtContent>
          <w:r w:rsidR="00A439C8" w:rsidRPr="001A216A">
            <w:rPr>
              <w:rFonts w:cstheme="minorHAnsi"/>
              <w:sz w:val="24"/>
              <w:szCs w:val="24"/>
            </w:rPr>
            <w:fldChar w:fldCharType="begin"/>
          </w:r>
          <w:r w:rsidR="00A439C8" w:rsidRPr="001A216A">
            <w:rPr>
              <w:rFonts w:cstheme="minorHAnsi"/>
              <w:sz w:val="24"/>
              <w:szCs w:val="24"/>
            </w:rPr>
            <w:instrText xml:space="preserve">CITATION BreIV \p 168 \t  \l 2057 </w:instrText>
          </w:r>
          <w:r w:rsidR="00A439C8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(Brehony, 2001b, p. 168)</w:t>
          </w:r>
          <w:r w:rsidR="00A439C8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Pr="001A216A">
        <w:rPr>
          <w:rFonts w:cstheme="minorHAnsi"/>
          <w:sz w:val="24"/>
          <w:szCs w:val="24"/>
        </w:rPr>
        <w:t xml:space="preserve"> This concept of childhood as </w:t>
      </w:r>
      <w:r w:rsidR="00634819" w:rsidRPr="001A216A">
        <w:rPr>
          <w:rFonts w:cstheme="minorHAnsi"/>
          <w:sz w:val="24"/>
          <w:szCs w:val="24"/>
        </w:rPr>
        <w:t xml:space="preserve">holistic and </w:t>
      </w:r>
      <w:r w:rsidRPr="001A216A">
        <w:rPr>
          <w:rFonts w:cstheme="minorHAnsi"/>
          <w:sz w:val="24"/>
          <w:szCs w:val="24"/>
        </w:rPr>
        <w:t xml:space="preserve">having value in its own right, is an important principle which underpins Froebelian practice </w:t>
      </w:r>
      <w:sdt>
        <w:sdtPr>
          <w:rPr>
            <w:rFonts w:cstheme="minorHAnsi"/>
            <w:sz w:val="24"/>
            <w:szCs w:val="24"/>
          </w:rPr>
          <w:id w:val="-2121983486"/>
          <w:citation/>
        </w:sdtPr>
        <w:sdtEndPr/>
        <w:sdtContent>
          <w:r w:rsidR="00A439C8" w:rsidRPr="001A216A">
            <w:rPr>
              <w:rFonts w:cstheme="minorHAnsi"/>
              <w:sz w:val="24"/>
              <w:szCs w:val="24"/>
            </w:rPr>
            <w:fldChar w:fldCharType="begin"/>
          </w:r>
          <w:r w:rsidR="00A439C8" w:rsidRPr="001A216A">
            <w:rPr>
              <w:rFonts w:cstheme="minorHAnsi"/>
              <w:sz w:val="24"/>
              <w:szCs w:val="24"/>
            </w:rPr>
            <w:instrText xml:space="preserve"> CITATION Fro23 \l 2057 </w:instrText>
          </w:r>
          <w:r w:rsidR="00A439C8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(Froebel Trust, 2023)</w:t>
          </w:r>
          <w:r w:rsidR="00A439C8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Pr="001A216A">
        <w:rPr>
          <w:rFonts w:cstheme="minorHAnsi"/>
          <w:sz w:val="24"/>
          <w:szCs w:val="24"/>
        </w:rPr>
        <w:t xml:space="preserve"> however, there is little research beyond this, into Froebelian educators’ </w:t>
      </w:r>
      <w:r w:rsidR="00DA0712" w:rsidRPr="001A216A">
        <w:rPr>
          <w:rFonts w:cstheme="minorHAnsi"/>
          <w:sz w:val="24"/>
          <w:szCs w:val="24"/>
        </w:rPr>
        <w:t xml:space="preserve">concepts or </w:t>
      </w:r>
      <w:r w:rsidRPr="001A216A">
        <w:rPr>
          <w:rFonts w:cstheme="minorHAnsi"/>
          <w:sz w:val="24"/>
          <w:szCs w:val="24"/>
        </w:rPr>
        <w:t xml:space="preserve">views of childhood today. </w:t>
      </w:r>
    </w:p>
    <w:p w14:paraId="6FB690F6" w14:textId="48B34020" w:rsidR="00E92FF4" w:rsidRPr="001A216A" w:rsidRDefault="00A439C8" w:rsidP="004D1FF1">
      <w:pPr>
        <w:rPr>
          <w:rFonts w:cstheme="minorHAnsi"/>
          <w:sz w:val="24"/>
          <w:szCs w:val="24"/>
        </w:rPr>
      </w:pPr>
      <w:r w:rsidRPr="001A216A">
        <w:rPr>
          <w:rFonts w:cstheme="minorHAnsi"/>
          <w:sz w:val="24"/>
          <w:szCs w:val="24"/>
        </w:rPr>
        <w:t xml:space="preserve">Froebel believed that there was a unity in all things, ‘in nature (the external), in the spirit (the internal), and in life which unites the two.’ </w:t>
      </w:r>
      <w:sdt>
        <w:sdtPr>
          <w:rPr>
            <w:rFonts w:cstheme="minorHAnsi"/>
            <w:sz w:val="24"/>
            <w:szCs w:val="24"/>
          </w:rPr>
          <w:id w:val="16596814"/>
          <w:citation/>
        </w:sdtPr>
        <w:sdtEndPr/>
        <w:sdtContent>
          <w:r w:rsidRPr="001A216A">
            <w:rPr>
              <w:rFonts w:cstheme="minorHAnsi"/>
              <w:sz w:val="24"/>
              <w:szCs w:val="24"/>
            </w:rPr>
            <w:fldChar w:fldCharType="begin"/>
          </w:r>
          <w:r w:rsidRPr="001A216A">
            <w:rPr>
              <w:rFonts w:cstheme="minorHAnsi"/>
              <w:sz w:val="24"/>
              <w:szCs w:val="24"/>
            </w:rPr>
            <w:instrText xml:space="preserve">CITATION Bre \p 1 \t  \l 2057 </w:instrText>
          </w:r>
          <w:r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(Brehony, 2001a, p. 1)</w:t>
          </w:r>
          <w:r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Pr="001A216A">
        <w:rPr>
          <w:rFonts w:cstheme="minorHAnsi"/>
          <w:sz w:val="24"/>
          <w:szCs w:val="24"/>
        </w:rPr>
        <w:t xml:space="preserve"> This monistic view with its focus on Unity, </w:t>
      </w:r>
      <w:r w:rsidR="00F0001C" w:rsidRPr="001A216A">
        <w:rPr>
          <w:rFonts w:cstheme="minorHAnsi"/>
          <w:sz w:val="24"/>
          <w:szCs w:val="24"/>
        </w:rPr>
        <w:t xml:space="preserve">has significant elements of alignment with the recent ‘ontological turn’ of which </w:t>
      </w:r>
      <w:proofErr w:type="spellStart"/>
      <w:r w:rsidR="00F0001C" w:rsidRPr="001A216A">
        <w:rPr>
          <w:rFonts w:cstheme="minorHAnsi"/>
          <w:sz w:val="24"/>
          <w:szCs w:val="24"/>
        </w:rPr>
        <w:t>Deleuzian</w:t>
      </w:r>
      <w:proofErr w:type="spellEnd"/>
      <w:r w:rsidR="00F0001C" w:rsidRPr="001A216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749183754"/>
          <w:citation/>
        </w:sdtPr>
        <w:sdtEndPr/>
        <w:sdtContent>
          <w:r w:rsidR="00F0001C" w:rsidRPr="001A216A">
            <w:rPr>
              <w:rFonts w:cstheme="minorHAnsi"/>
              <w:sz w:val="24"/>
              <w:szCs w:val="24"/>
            </w:rPr>
            <w:fldChar w:fldCharType="begin"/>
          </w:r>
          <w:r w:rsidR="00F0001C" w:rsidRPr="001A216A">
            <w:rPr>
              <w:rFonts w:cstheme="minorHAnsi"/>
              <w:sz w:val="24"/>
              <w:szCs w:val="24"/>
            </w:rPr>
            <w:instrText xml:space="preserve">CITATION Del87 \n  \t  \l 2057 </w:instrText>
          </w:r>
          <w:r w:rsidR="00F0001C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(1987)</w:t>
          </w:r>
          <w:r w:rsidR="00F0001C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="00F0001C" w:rsidRPr="001A216A">
        <w:rPr>
          <w:rFonts w:cstheme="minorHAnsi"/>
          <w:sz w:val="24"/>
          <w:szCs w:val="24"/>
        </w:rPr>
        <w:t xml:space="preserve"> philosophy and New Materialism </w:t>
      </w:r>
      <w:sdt>
        <w:sdtPr>
          <w:rPr>
            <w:rFonts w:cstheme="minorHAnsi"/>
            <w:sz w:val="24"/>
            <w:szCs w:val="24"/>
          </w:rPr>
          <w:id w:val="1619105278"/>
          <w:citation/>
        </w:sdtPr>
        <w:sdtEndPr/>
        <w:sdtContent>
          <w:r w:rsidR="00F0001C" w:rsidRPr="001A216A">
            <w:rPr>
              <w:rFonts w:cstheme="minorHAnsi"/>
              <w:sz w:val="24"/>
              <w:szCs w:val="24"/>
            </w:rPr>
            <w:fldChar w:fldCharType="begin"/>
          </w:r>
          <w:r w:rsidR="00F0001C" w:rsidRPr="001A216A">
            <w:rPr>
              <w:rFonts w:cstheme="minorHAnsi"/>
              <w:sz w:val="24"/>
              <w:szCs w:val="24"/>
            </w:rPr>
            <w:instrText xml:space="preserve"> CITATION Bar06 \l 2057 </w:instrText>
          </w:r>
          <w:r w:rsidR="00F0001C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(Barad, 2006)</w:t>
          </w:r>
          <w:r w:rsidR="00F0001C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="00F0001C" w:rsidRPr="001A216A">
        <w:rPr>
          <w:rFonts w:cstheme="minorHAnsi"/>
          <w:sz w:val="24"/>
          <w:szCs w:val="24"/>
        </w:rPr>
        <w:t xml:space="preserve"> are part, and can act</w:t>
      </w:r>
      <w:r w:rsidRPr="001A216A">
        <w:rPr>
          <w:rFonts w:cstheme="minorHAnsi"/>
          <w:sz w:val="24"/>
          <w:szCs w:val="24"/>
        </w:rPr>
        <w:t xml:space="preserve"> as counterpoint to the predominant duality which permeates much of contemporary thinking about early childhood.</w:t>
      </w:r>
      <w:r w:rsidR="00BC48CB" w:rsidRPr="001A216A">
        <w:rPr>
          <w:rFonts w:cstheme="minorHAnsi"/>
          <w:sz w:val="24"/>
          <w:szCs w:val="24"/>
        </w:rPr>
        <w:t xml:space="preserve"> </w:t>
      </w:r>
    </w:p>
    <w:p w14:paraId="733C7926" w14:textId="21EC72C1" w:rsidR="00F15CC9" w:rsidRPr="001A216A" w:rsidRDefault="00BC48CB" w:rsidP="004D1FF1">
      <w:pPr>
        <w:rPr>
          <w:rFonts w:cstheme="minorHAnsi"/>
          <w:sz w:val="24"/>
          <w:szCs w:val="24"/>
        </w:rPr>
      </w:pPr>
      <w:r w:rsidRPr="001A216A">
        <w:rPr>
          <w:rFonts w:cstheme="minorHAnsi"/>
          <w:sz w:val="24"/>
          <w:szCs w:val="24"/>
        </w:rPr>
        <w:t>Borrowing from pedagogical practices</w:t>
      </w:r>
      <w:r w:rsidR="00F15CC9" w:rsidRPr="001A216A">
        <w:rPr>
          <w:rFonts w:cstheme="minorHAnsi"/>
          <w:sz w:val="24"/>
          <w:szCs w:val="24"/>
        </w:rPr>
        <w:t xml:space="preserve"> which offer alternative ways of thinking such as Clark’s concept of ‘Quilting’  </w:t>
      </w:r>
      <w:sdt>
        <w:sdtPr>
          <w:rPr>
            <w:rFonts w:cstheme="minorHAnsi"/>
            <w:sz w:val="24"/>
            <w:szCs w:val="24"/>
          </w:rPr>
          <w:id w:val="-1550216947"/>
          <w:citation/>
        </w:sdtPr>
        <w:sdtEndPr/>
        <w:sdtContent>
          <w:r w:rsidR="00D974FD" w:rsidRPr="001A216A">
            <w:rPr>
              <w:rFonts w:cstheme="minorHAnsi"/>
              <w:sz w:val="24"/>
              <w:szCs w:val="24"/>
            </w:rPr>
            <w:fldChar w:fldCharType="begin"/>
          </w:r>
          <w:r w:rsidR="00F15CC9" w:rsidRPr="001A216A">
            <w:rPr>
              <w:rFonts w:cstheme="minorHAnsi"/>
              <w:sz w:val="24"/>
              <w:szCs w:val="24"/>
            </w:rPr>
            <w:instrText xml:space="preserve">CITATION Cla19 \n  \t  \l 2057 </w:instrText>
          </w:r>
          <w:r w:rsidR="00D974FD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(2019)</w:t>
          </w:r>
          <w:r w:rsidR="00D974FD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="00D974FD" w:rsidRPr="001A216A">
        <w:rPr>
          <w:rFonts w:cstheme="minorHAnsi"/>
          <w:sz w:val="24"/>
          <w:szCs w:val="24"/>
        </w:rPr>
        <w:t xml:space="preserve"> </w:t>
      </w:r>
      <w:r w:rsidR="00F15CC9" w:rsidRPr="001A216A">
        <w:rPr>
          <w:rFonts w:cstheme="minorHAnsi"/>
          <w:sz w:val="24"/>
          <w:szCs w:val="24"/>
        </w:rPr>
        <w:t xml:space="preserve">and </w:t>
      </w:r>
      <w:r w:rsidR="00D41788" w:rsidRPr="001A216A">
        <w:rPr>
          <w:rFonts w:cstheme="minorHAnsi"/>
          <w:sz w:val="24"/>
          <w:szCs w:val="24"/>
        </w:rPr>
        <w:t xml:space="preserve">Lenz Taguchi’s </w:t>
      </w:r>
      <w:sdt>
        <w:sdtPr>
          <w:rPr>
            <w:rFonts w:cstheme="minorHAnsi"/>
            <w:sz w:val="24"/>
            <w:szCs w:val="24"/>
          </w:rPr>
          <w:id w:val="-1078898079"/>
          <w:citation/>
        </w:sdtPr>
        <w:sdtEndPr/>
        <w:sdtContent>
          <w:r w:rsidR="00D41788" w:rsidRPr="001A216A">
            <w:rPr>
              <w:rFonts w:cstheme="minorHAnsi"/>
              <w:sz w:val="24"/>
              <w:szCs w:val="24"/>
            </w:rPr>
            <w:fldChar w:fldCharType="begin"/>
          </w:r>
          <w:r w:rsidR="001A216A" w:rsidRPr="001A216A">
            <w:rPr>
              <w:rFonts w:cstheme="minorHAnsi"/>
              <w:sz w:val="24"/>
              <w:szCs w:val="24"/>
            </w:rPr>
            <w:instrText xml:space="preserve">CITATION Len10 \n  \t  \l 2057 </w:instrText>
          </w:r>
          <w:r w:rsidR="00D41788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(2010)</w:t>
          </w:r>
          <w:r w:rsidR="00D41788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="00D41788" w:rsidRPr="001A216A">
        <w:rPr>
          <w:rFonts w:cstheme="minorHAnsi"/>
          <w:sz w:val="24"/>
          <w:szCs w:val="24"/>
        </w:rPr>
        <w:t xml:space="preserve"> ideas of</w:t>
      </w:r>
      <w:r w:rsidRPr="001A216A">
        <w:rPr>
          <w:rFonts w:cstheme="minorHAnsi"/>
          <w:sz w:val="24"/>
          <w:szCs w:val="24"/>
        </w:rPr>
        <w:t xml:space="preserve"> </w:t>
      </w:r>
      <w:r w:rsidR="00D974FD" w:rsidRPr="001A216A">
        <w:rPr>
          <w:rFonts w:cstheme="minorHAnsi"/>
          <w:sz w:val="24"/>
          <w:szCs w:val="24"/>
        </w:rPr>
        <w:t>intra-active pedagogy</w:t>
      </w:r>
      <w:r w:rsidR="00F15CC9" w:rsidRPr="001A216A">
        <w:rPr>
          <w:rFonts w:cstheme="minorHAnsi"/>
          <w:sz w:val="24"/>
          <w:szCs w:val="24"/>
        </w:rPr>
        <w:t>,</w:t>
      </w:r>
      <w:r w:rsidR="00D974FD" w:rsidRPr="001A216A">
        <w:rPr>
          <w:rFonts w:cstheme="minorHAnsi"/>
          <w:sz w:val="24"/>
          <w:szCs w:val="24"/>
        </w:rPr>
        <w:t xml:space="preserve"> </w:t>
      </w:r>
      <w:r w:rsidR="004D1FF1" w:rsidRPr="001A216A">
        <w:rPr>
          <w:rFonts w:cstheme="minorHAnsi"/>
          <w:sz w:val="24"/>
          <w:szCs w:val="24"/>
        </w:rPr>
        <w:t xml:space="preserve">this study explores Froebelian educators’ views of childhood through the Froebelian occupation of sewing. </w:t>
      </w:r>
      <w:r w:rsidR="00F15CC9" w:rsidRPr="001A216A">
        <w:rPr>
          <w:rFonts w:cstheme="minorHAnsi"/>
          <w:sz w:val="24"/>
          <w:szCs w:val="24"/>
        </w:rPr>
        <w:t xml:space="preserve">Drawing on Barad’s </w:t>
      </w:r>
      <w:sdt>
        <w:sdtPr>
          <w:rPr>
            <w:rFonts w:cstheme="minorHAnsi"/>
            <w:sz w:val="24"/>
            <w:szCs w:val="24"/>
          </w:rPr>
          <w:id w:val="-847476885"/>
          <w:citation/>
        </w:sdtPr>
        <w:sdtEndPr/>
        <w:sdtContent>
          <w:r w:rsidR="00F15CC9" w:rsidRPr="001A216A">
            <w:rPr>
              <w:rFonts w:cstheme="minorHAnsi"/>
              <w:sz w:val="24"/>
              <w:szCs w:val="24"/>
            </w:rPr>
            <w:fldChar w:fldCharType="begin"/>
          </w:r>
          <w:r w:rsidR="00F15CC9" w:rsidRPr="001A216A">
            <w:rPr>
              <w:rFonts w:cstheme="minorHAnsi"/>
              <w:sz w:val="24"/>
              <w:szCs w:val="24"/>
            </w:rPr>
            <w:instrText xml:space="preserve">CITATION Bar06 \n  \t  \l 2057 </w:instrText>
          </w:r>
          <w:r w:rsidR="00F15CC9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(2006)</w:t>
          </w:r>
          <w:r w:rsidR="00F15CC9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="00F15CC9" w:rsidRPr="001A216A">
        <w:rPr>
          <w:rFonts w:cstheme="minorHAnsi"/>
          <w:sz w:val="24"/>
          <w:szCs w:val="24"/>
        </w:rPr>
        <w:t xml:space="preserve"> belief that ‘matter and meaning are not separate elements’</w:t>
      </w:r>
      <w:sdt>
        <w:sdtPr>
          <w:rPr>
            <w:rFonts w:cstheme="minorHAnsi"/>
            <w:sz w:val="24"/>
            <w:szCs w:val="24"/>
          </w:rPr>
          <w:id w:val="1216706682"/>
          <w:citation/>
        </w:sdtPr>
        <w:sdtEndPr/>
        <w:sdtContent>
          <w:r w:rsidR="00F15CC9" w:rsidRPr="001A216A">
            <w:rPr>
              <w:rFonts w:cstheme="minorHAnsi"/>
              <w:sz w:val="24"/>
              <w:szCs w:val="24"/>
            </w:rPr>
            <w:fldChar w:fldCharType="begin"/>
          </w:r>
          <w:r w:rsidR="00F15CC9" w:rsidRPr="001A216A">
            <w:rPr>
              <w:rFonts w:cstheme="minorHAnsi"/>
              <w:sz w:val="24"/>
              <w:szCs w:val="24"/>
            </w:rPr>
            <w:instrText xml:space="preserve">CITATION Bar06 \p 3 \n  \y  \t  \l 2057 </w:instrText>
          </w:r>
          <w:r w:rsidR="00F15CC9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 xml:space="preserve"> (p. 3)</w:t>
          </w:r>
          <w:r w:rsidR="00F15CC9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="00F15CC9" w:rsidRPr="001A216A">
        <w:rPr>
          <w:rFonts w:cstheme="minorHAnsi"/>
          <w:sz w:val="24"/>
          <w:szCs w:val="24"/>
        </w:rPr>
        <w:t xml:space="preserve"> and the idea that the intra-actions between humans and material artefacts ‘have force and power to transform our thinking’ </w:t>
      </w:r>
      <w:sdt>
        <w:sdtPr>
          <w:rPr>
            <w:rFonts w:cstheme="minorHAnsi"/>
            <w:sz w:val="24"/>
            <w:szCs w:val="24"/>
          </w:rPr>
          <w:id w:val="1378201456"/>
          <w:citation/>
        </w:sdtPr>
        <w:sdtEndPr/>
        <w:sdtContent>
          <w:r w:rsidR="00F15CC9" w:rsidRPr="001A216A">
            <w:rPr>
              <w:rFonts w:cstheme="minorHAnsi"/>
              <w:sz w:val="24"/>
              <w:szCs w:val="24"/>
            </w:rPr>
            <w:fldChar w:fldCharType="begin"/>
          </w:r>
          <w:r w:rsidR="001A216A" w:rsidRPr="001A216A">
            <w:rPr>
              <w:rFonts w:cstheme="minorHAnsi"/>
              <w:sz w:val="24"/>
              <w:szCs w:val="24"/>
            </w:rPr>
            <w:instrText xml:space="preserve">CITATION Len10 \p 4 \l 2057 </w:instrText>
          </w:r>
          <w:r w:rsidR="00F15CC9" w:rsidRPr="001A216A">
            <w:rPr>
              <w:rFonts w:cstheme="minorHAnsi"/>
              <w:sz w:val="24"/>
              <w:szCs w:val="24"/>
            </w:rPr>
            <w:fldChar w:fldCharType="separate"/>
          </w:r>
          <w:r w:rsidR="001A216A" w:rsidRPr="001A216A">
            <w:rPr>
              <w:rFonts w:cstheme="minorHAnsi"/>
              <w:noProof/>
              <w:sz w:val="24"/>
              <w:szCs w:val="24"/>
            </w:rPr>
            <w:t>(Lenz Taguchi, 2010, p. 4)</w:t>
          </w:r>
          <w:r w:rsidR="00F15CC9" w:rsidRPr="001A216A">
            <w:rPr>
              <w:rFonts w:cstheme="minorHAnsi"/>
              <w:sz w:val="24"/>
              <w:szCs w:val="24"/>
            </w:rPr>
            <w:fldChar w:fldCharType="end"/>
          </w:r>
        </w:sdtContent>
      </w:sdt>
      <w:r w:rsidR="00F15CC9" w:rsidRPr="001A216A">
        <w:rPr>
          <w:rFonts w:cstheme="minorHAnsi"/>
          <w:sz w:val="24"/>
          <w:szCs w:val="24"/>
        </w:rPr>
        <w:t>, p</w:t>
      </w:r>
      <w:r w:rsidR="00E92FF4" w:rsidRPr="001A216A">
        <w:rPr>
          <w:rFonts w:cstheme="minorHAnsi"/>
          <w:sz w:val="24"/>
          <w:szCs w:val="24"/>
        </w:rPr>
        <w:t xml:space="preserve">articipants created sewn textiles </w:t>
      </w:r>
      <w:r w:rsidR="00D204C2" w:rsidRPr="001A216A">
        <w:rPr>
          <w:rFonts w:cstheme="minorHAnsi"/>
          <w:sz w:val="24"/>
          <w:szCs w:val="24"/>
        </w:rPr>
        <w:t>and</w:t>
      </w:r>
      <w:r w:rsidR="00E92FF4" w:rsidRPr="001A216A">
        <w:rPr>
          <w:rFonts w:cstheme="minorHAnsi"/>
          <w:sz w:val="24"/>
          <w:szCs w:val="24"/>
        </w:rPr>
        <w:t xml:space="preserve"> annotat</w:t>
      </w:r>
      <w:r w:rsidR="00D204C2" w:rsidRPr="001A216A">
        <w:rPr>
          <w:rFonts w:cstheme="minorHAnsi"/>
          <w:sz w:val="24"/>
          <w:szCs w:val="24"/>
        </w:rPr>
        <w:t>ions</w:t>
      </w:r>
      <w:r w:rsidR="00E92FF4" w:rsidRPr="001A216A">
        <w:rPr>
          <w:rFonts w:cstheme="minorHAnsi"/>
          <w:sz w:val="24"/>
          <w:szCs w:val="24"/>
        </w:rPr>
        <w:t xml:space="preserve">, in response to the question, ‘what is your </w:t>
      </w:r>
      <w:r w:rsidR="00DA0712" w:rsidRPr="001A216A">
        <w:rPr>
          <w:rFonts w:cstheme="minorHAnsi"/>
          <w:sz w:val="24"/>
          <w:szCs w:val="24"/>
        </w:rPr>
        <w:t xml:space="preserve">concept or </w:t>
      </w:r>
      <w:r w:rsidR="00E92FF4" w:rsidRPr="001A216A">
        <w:rPr>
          <w:rFonts w:cstheme="minorHAnsi"/>
          <w:sz w:val="24"/>
          <w:szCs w:val="24"/>
        </w:rPr>
        <w:t>view of childhood</w:t>
      </w:r>
      <w:r w:rsidR="007618F8" w:rsidRPr="001A216A">
        <w:rPr>
          <w:rFonts w:cstheme="minorHAnsi"/>
          <w:sz w:val="24"/>
          <w:szCs w:val="24"/>
        </w:rPr>
        <w:t xml:space="preserve"> from a Froebelian perspective</w:t>
      </w:r>
      <w:r w:rsidR="00E92FF4" w:rsidRPr="001A216A">
        <w:rPr>
          <w:rFonts w:cstheme="minorHAnsi"/>
          <w:sz w:val="24"/>
          <w:szCs w:val="24"/>
        </w:rPr>
        <w:t xml:space="preserve">?’ </w:t>
      </w:r>
      <w:r w:rsidR="00D02C1D" w:rsidRPr="001A216A">
        <w:rPr>
          <w:rFonts w:cstheme="minorHAnsi"/>
          <w:sz w:val="24"/>
          <w:szCs w:val="24"/>
        </w:rPr>
        <w:t>These multi-layered assemblages were then explored in a holistic way to draw out the material-discursive interconnections and intra-actions.</w:t>
      </w:r>
    </w:p>
    <w:sdt>
      <w:sdtPr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id w:val="724113428"/>
        <w:docPartObj>
          <w:docPartGallery w:val="Bibliographies"/>
          <w:docPartUnique/>
        </w:docPartObj>
      </w:sdtPr>
      <w:sdtEndPr/>
      <w:sdtContent>
        <w:p w14:paraId="261DA24E" w14:textId="5681F9A0" w:rsidR="007618F8" w:rsidRPr="001A216A" w:rsidRDefault="007618F8">
          <w:pPr>
            <w:pStyle w:val="Heading1"/>
            <w:rPr>
              <w:rFonts w:asciiTheme="minorHAnsi" w:hAnsiTheme="minorHAnsi" w:cstheme="minorHAnsi"/>
              <w:sz w:val="24"/>
              <w:szCs w:val="24"/>
            </w:rPr>
          </w:pPr>
          <w:r w:rsidRPr="001A216A">
            <w:rPr>
              <w:rFonts w:asciiTheme="minorHAnsi" w:hAnsiTheme="minorHAnsi" w:cstheme="minorHAnsi"/>
              <w:sz w:val="24"/>
              <w:szCs w:val="24"/>
            </w:rPr>
            <w:t>References</w:t>
          </w:r>
        </w:p>
        <w:p w14:paraId="6DE82F35" w14:textId="5E809602" w:rsidR="001A216A" w:rsidRPr="001A216A" w:rsidRDefault="001A216A" w:rsidP="001A216A">
          <w:pPr>
            <w:pStyle w:val="Bibliography"/>
            <w:ind w:left="720" w:hanging="720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Barad, K. (2006). </w:t>
          </w:r>
          <w:r w:rsidRPr="001A216A">
            <w:rPr>
              <w:rFonts w:asciiTheme="minorHAnsi" w:hAnsiTheme="minorHAnsi" w:cstheme="minorHAnsi"/>
              <w:i/>
              <w:iCs/>
              <w:noProof/>
              <w:sz w:val="24"/>
              <w:szCs w:val="24"/>
            </w:rPr>
            <w:t>Meeting the Universe Halfway: Quantum Physics and the Entanglement of Matter and Meaning.</w:t>
          </w: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 Durham, NC: Duke University Press.</w:t>
          </w:r>
        </w:p>
        <w:p w14:paraId="7F680341" w14:textId="77777777" w:rsidR="001A216A" w:rsidRPr="001A216A" w:rsidRDefault="001A216A" w:rsidP="001A216A">
          <w:pPr>
            <w:pStyle w:val="Bibliography"/>
            <w:ind w:left="720" w:hanging="720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Brehony, K. J. (2001a). </w:t>
          </w:r>
          <w:r w:rsidRPr="001A216A">
            <w:rPr>
              <w:rFonts w:asciiTheme="minorHAnsi" w:hAnsiTheme="minorHAnsi" w:cstheme="minorHAnsi"/>
              <w:i/>
              <w:iCs/>
              <w:noProof/>
              <w:sz w:val="24"/>
              <w:szCs w:val="24"/>
            </w:rPr>
            <w:t>The Origins of Nursery Education: Friedrich Froebel and the English System Volume I: The Education of Man.</w:t>
          </w: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 (W. Hailmann, Trans.) London: Routledge.</w:t>
          </w:r>
        </w:p>
        <w:p w14:paraId="5451D052" w14:textId="77777777" w:rsidR="001A216A" w:rsidRPr="001A216A" w:rsidRDefault="001A216A" w:rsidP="001A216A">
          <w:pPr>
            <w:pStyle w:val="Bibliography"/>
            <w:ind w:left="720" w:hanging="720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Brehony, K. J. (2001b). </w:t>
          </w:r>
          <w:r w:rsidRPr="001A216A">
            <w:rPr>
              <w:rFonts w:asciiTheme="minorHAnsi" w:hAnsiTheme="minorHAnsi" w:cstheme="minorHAnsi"/>
              <w:i/>
              <w:iCs/>
              <w:noProof/>
              <w:sz w:val="24"/>
              <w:szCs w:val="24"/>
            </w:rPr>
            <w:t>The Origins of Nursery Education: Friedrich Froebel and the English System Volume IV: Friedrich Froebel's Education by Development.</w:t>
          </w: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 Abingdon, Oxon: Routledge.</w:t>
          </w:r>
        </w:p>
        <w:p w14:paraId="61B1AF6E" w14:textId="77777777" w:rsidR="001A216A" w:rsidRPr="001A216A" w:rsidRDefault="001A216A" w:rsidP="001A216A">
          <w:pPr>
            <w:pStyle w:val="Bibliography"/>
            <w:ind w:left="720" w:hanging="720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Clark, A. (2019). 'Quilting' with the Mosaic approach: smooth and striated spaces in early childhood research. </w:t>
          </w:r>
          <w:r w:rsidRPr="001A216A">
            <w:rPr>
              <w:rFonts w:asciiTheme="minorHAnsi" w:hAnsiTheme="minorHAnsi" w:cstheme="minorHAnsi"/>
              <w:i/>
              <w:iCs/>
              <w:noProof/>
              <w:sz w:val="24"/>
              <w:szCs w:val="24"/>
            </w:rPr>
            <w:t>Journal of Early Childhood Education Research, 8</w:t>
          </w: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>(2), 236-251.</w:t>
          </w:r>
        </w:p>
        <w:p w14:paraId="78A40066" w14:textId="77777777" w:rsidR="001A216A" w:rsidRPr="001A216A" w:rsidRDefault="001A216A" w:rsidP="001A216A">
          <w:pPr>
            <w:pStyle w:val="Bibliography"/>
            <w:ind w:left="720" w:hanging="720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lastRenderedPageBreak/>
            <w:t xml:space="preserve">Deleuze, G., &amp; Guattari, F. (1987). </w:t>
          </w:r>
          <w:r w:rsidRPr="001A216A">
            <w:rPr>
              <w:rFonts w:asciiTheme="minorHAnsi" w:hAnsiTheme="minorHAnsi" w:cstheme="minorHAnsi"/>
              <w:i/>
              <w:iCs/>
              <w:noProof/>
              <w:sz w:val="24"/>
              <w:szCs w:val="24"/>
            </w:rPr>
            <w:t>A Thousand Plateaus.</w:t>
          </w: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 Minneapolis, MN: University of Minnesota Press.</w:t>
          </w:r>
        </w:p>
        <w:p w14:paraId="46B04968" w14:textId="77777777" w:rsidR="001A216A" w:rsidRPr="001A216A" w:rsidRDefault="001A216A" w:rsidP="001A216A">
          <w:pPr>
            <w:pStyle w:val="Bibliography"/>
            <w:ind w:left="720" w:hanging="720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Froebel Trust. (2023, January 15). </w:t>
          </w:r>
          <w:r w:rsidRPr="001A216A">
            <w:rPr>
              <w:rFonts w:asciiTheme="minorHAnsi" w:hAnsiTheme="minorHAnsi" w:cstheme="minorHAnsi"/>
              <w:i/>
              <w:iCs/>
              <w:noProof/>
              <w:sz w:val="24"/>
              <w:szCs w:val="24"/>
            </w:rPr>
            <w:t>Froebelian Principles</w:t>
          </w: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>. Retrieved from Froebel Trust: https://www.froebel.org.uk/about-us/froebelian-principles</w:t>
          </w:r>
        </w:p>
        <w:p w14:paraId="73FCFA76" w14:textId="77777777" w:rsidR="001A216A" w:rsidRPr="001A216A" w:rsidRDefault="001A216A" w:rsidP="001A216A">
          <w:pPr>
            <w:pStyle w:val="Bibliography"/>
            <w:ind w:left="720" w:hanging="720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Lenz Taguchi, H. (2010). </w:t>
          </w:r>
          <w:r w:rsidRPr="001A216A">
            <w:rPr>
              <w:rFonts w:asciiTheme="minorHAnsi" w:hAnsiTheme="minorHAnsi" w:cstheme="minorHAnsi"/>
              <w:i/>
              <w:iCs/>
              <w:noProof/>
              <w:sz w:val="24"/>
              <w:szCs w:val="24"/>
            </w:rPr>
            <w:t>Going Beyond the Theory/Practice Divide in Early Childhood Education: Introducing an Intra-Active Pedagogy.</w:t>
          </w:r>
          <w:r w:rsidRPr="001A216A">
            <w:rPr>
              <w:rFonts w:asciiTheme="minorHAnsi" w:hAnsiTheme="minorHAnsi" w:cstheme="minorHAnsi"/>
              <w:noProof/>
              <w:sz w:val="24"/>
              <w:szCs w:val="24"/>
            </w:rPr>
            <w:t xml:space="preserve"> Abingdon, Oxon: Routledge.</w:t>
          </w:r>
        </w:p>
        <w:p w14:paraId="33F55C34" w14:textId="50C63232" w:rsidR="00A439C8" w:rsidRPr="001A216A" w:rsidRDefault="00835F88" w:rsidP="001A216A">
          <w:pPr>
            <w:rPr>
              <w:rFonts w:cstheme="minorHAnsi"/>
              <w:sz w:val="24"/>
              <w:szCs w:val="24"/>
            </w:rPr>
          </w:pPr>
        </w:p>
      </w:sdtContent>
    </w:sdt>
    <w:sectPr w:rsidR="00A439C8" w:rsidRPr="001A216A" w:rsidSect="00DA0712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41B0"/>
    <w:multiLevelType w:val="hybridMultilevel"/>
    <w:tmpl w:val="D2EA0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96AC8"/>
    <w:multiLevelType w:val="hybridMultilevel"/>
    <w:tmpl w:val="6A8E41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231D5"/>
    <w:multiLevelType w:val="hybridMultilevel"/>
    <w:tmpl w:val="47669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9203">
    <w:abstractNumId w:val="1"/>
  </w:num>
  <w:num w:numId="2" w16cid:durableId="1161118137">
    <w:abstractNumId w:val="2"/>
  </w:num>
  <w:num w:numId="3" w16cid:durableId="18392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12"/>
    <w:rsid w:val="00052B16"/>
    <w:rsid w:val="000E378B"/>
    <w:rsid w:val="001A216A"/>
    <w:rsid w:val="002074C5"/>
    <w:rsid w:val="002369B0"/>
    <w:rsid w:val="00407EB7"/>
    <w:rsid w:val="00437038"/>
    <w:rsid w:val="00445448"/>
    <w:rsid w:val="0048260C"/>
    <w:rsid w:val="004D1FF1"/>
    <w:rsid w:val="00555312"/>
    <w:rsid w:val="005B0D96"/>
    <w:rsid w:val="006101BC"/>
    <w:rsid w:val="00620ACA"/>
    <w:rsid w:val="00634819"/>
    <w:rsid w:val="007618F8"/>
    <w:rsid w:val="00835F88"/>
    <w:rsid w:val="008D7299"/>
    <w:rsid w:val="008E25DC"/>
    <w:rsid w:val="00941ADA"/>
    <w:rsid w:val="00992C3F"/>
    <w:rsid w:val="00A1203C"/>
    <w:rsid w:val="00A439C8"/>
    <w:rsid w:val="00AE7707"/>
    <w:rsid w:val="00B6179E"/>
    <w:rsid w:val="00BC48CB"/>
    <w:rsid w:val="00C21821"/>
    <w:rsid w:val="00D022F8"/>
    <w:rsid w:val="00D02C1D"/>
    <w:rsid w:val="00D204C2"/>
    <w:rsid w:val="00D41788"/>
    <w:rsid w:val="00D974FD"/>
    <w:rsid w:val="00DA0712"/>
    <w:rsid w:val="00E92FF4"/>
    <w:rsid w:val="00F0001C"/>
    <w:rsid w:val="00F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0196"/>
  <w15:chartTrackingRefBased/>
  <w15:docId w15:val="{03968C23-584D-4859-93EC-E4C96094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1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A439C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41A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ubtitle-colon">
    <w:name w:val="subtitle-colon"/>
    <w:basedOn w:val="DefaultParagraphFont"/>
    <w:rsid w:val="00941ADA"/>
  </w:style>
  <w:style w:type="character" w:customStyle="1" w:styleId="Subtitle1">
    <w:name w:val="Subtitle1"/>
    <w:basedOn w:val="DefaultParagraphFont"/>
    <w:rsid w:val="00941ADA"/>
  </w:style>
  <w:style w:type="character" w:styleId="Hyperlink">
    <w:name w:val="Hyperlink"/>
    <w:basedOn w:val="DefaultParagraphFont"/>
    <w:uiPriority w:val="99"/>
    <w:unhideWhenUsed/>
    <w:rsid w:val="00941A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2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2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92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9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60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Bre</b:Tag>
    <b:SourceType>Book</b:SourceType>
    <b:Guid>{30C39A0C-4CB8-4984-9650-B118AC479E4C}</b:Guid>
    <b:Author>
      <b:Author>
        <b:NameList>
          <b:Person>
            <b:Last>Brehony</b:Last>
            <b:Middle>J</b:Middle>
            <b:First>Kevin</b:First>
          </b:Person>
        </b:NameList>
      </b:Author>
      <b:Translator>
        <b:NameList>
          <b:Person>
            <b:Last>Hailmann</b:Last>
            <b:First>W.N.</b:First>
          </b:Person>
        </b:NameList>
      </b:Translator>
    </b:Author>
    <b:Title>The Origins of Nursery Education: Friedrich Froebel and the English System Volume I: The Education of Man</b:Title>
    <b:Year>2001a</b:Year>
    <b:City>London</b:City>
    <b:Publisher>Routledge</b:Publisher>
    <b:RefOrder>3</b:RefOrder>
  </b:Source>
  <b:Source>
    <b:Tag>BreIV</b:Tag>
    <b:SourceType>Book</b:SourceType>
    <b:Guid>{3F9526B5-1001-4638-859C-355079503173}</b:Guid>
    <b:Title>The Origins of Nursery Education: Friedrich Froebel and the English System Volume IV: Friedrich Froebel's Education by Development</b:Title>
    <b:Year>2001b</b:Year>
    <b:City>Abingdon, Oxon</b:City>
    <b:Publisher>Routledge</b:Publisher>
    <b:Author>
      <b:Author>
        <b:NameList>
          <b:Person>
            <b:Last>Brehony</b:Last>
            <b:Middle>J</b:Middle>
            <b:First>Kevin</b:First>
          </b:Person>
        </b:NameList>
      </b:Author>
    </b:Author>
    <b:RefOrder>1</b:RefOrder>
  </b:Source>
  <b:Source>
    <b:Tag>Fro23</b:Tag>
    <b:SourceType>InternetSite</b:SourceType>
    <b:Guid>{A53A9984-1FED-4586-9DA6-1608856A4AB8}</b:Guid>
    <b:Title>Froebelian Principles</b:Title>
    <b:Year>2023</b:Year>
    <b:Author>
      <b:Author>
        <b:Corporate>Froebel Trust</b:Corporate>
      </b:Author>
    </b:Author>
    <b:InternetSiteTitle>Froebel Trust</b:InternetSiteTitle>
    <b:Month>January</b:Month>
    <b:Day>15</b:Day>
    <b:URL>https://www.froebel.org.uk/about-us/froebelian-principles</b:URL>
    <b:RefOrder>2</b:RefOrder>
  </b:Source>
  <b:Source>
    <b:Tag>Bar06</b:Tag>
    <b:SourceType>Book</b:SourceType>
    <b:Guid>{E01553FF-6047-4EB4-BB9F-98EC28E6C9A3}</b:Guid>
    <b:Author>
      <b:Author>
        <b:NameList>
          <b:Person>
            <b:Last>Barad</b:Last>
            <b:First>Karen</b:First>
          </b:Person>
        </b:NameList>
      </b:Author>
    </b:Author>
    <b:Title>Meeting the Universe Halfway: Quantum Physics and the Entanglement of Matter and Meaning</b:Title>
    <b:Year>2006</b:Year>
    <b:City>Durham, NC</b:City>
    <b:Publisher>Duke University Press</b:Publisher>
    <b:RefOrder>5</b:RefOrder>
  </b:Source>
  <b:Source>
    <b:Tag>Del87</b:Tag>
    <b:SourceType>Book</b:SourceType>
    <b:Guid>{D97AA3E4-C086-4CEE-86FF-0B80E3DF85E0}</b:Guid>
    <b:Title>A Thousand Plateaus</b:Title>
    <b:Year>1987</b:Year>
    <b:City>Minneapolis, MN</b:City>
    <b:Publisher>University of Minnesota Press</b:Publisher>
    <b:Author>
      <b:Author>
        <b:NameList>
          <b:Person>
            <b:Last>Deleuze</b:Last>
            <b:First>G</b:First>
          </b:Person>
          <b:Person>
            <b:Last>Guattari</b:Last>
            <b:First>F</b:First>
          </b:Person>
        </b:NameList>
      </b:Author>
    </b:Author>
    <b:RefOrder>4</b:RefOrder>
  </b:Source>
  <b:Source>
    <b:Tag>Cla19</b:Tag>
    <b:SourceType>JournalArticle</b:SourceType>
    <b:Guid>{5F1AF540-D38E-43A9-A03B-9B62267DA8D8}</b:Guid>
    <b:Title>'Quilting' with the Mosaic approach: smooth and striated spaces in early childhood research</b:Title>
    <b:Year>2019</b:Year>
    <b:JournalName>Journal of Early Childhood Education Research</b:JournalName>
    <b:Pages>236-251</b:Pages>
    <b:Author>
      <b:Author>
        <b:NameList>
          <b:Person>
            <b:Last>Clark</b:Last>
            <b:First>Alison</b:First>
          </b:Person>
        </b:NameList>
      </b:Author>
    </b:Author>
    <b:Volume>8</b:Volume>
    <b:Issue>2</b:Issue>
    <b:RefOrder>6</b:RefOrder>
  </b:Source>
  <b:Source>
    <b:Tag>Len10</b:Tag>
    <b:SourceType>Book</b:SourceType>
    <b:Guid>{EE7F70C3-EE87-4EA2-9631-659357F59DD3}</b:Guid>
    <b:Title>Going Beyond the Theory/Practice Divide in Early Childhood Education: Introducing an Intra-Active Pedagogy</b:Title>
    <b:Year>2010</b:Year>
    <b:City>Abingdon, Oxon</b:City>
    <b:Publisher>Routledge</b:Publisher>
    <b:Author>
      <b:Author>
        <b:NameList>
          <b:Person>
            <b:Last>Lenz Taguchi</b:Last>
            <b:First>Hillevi</b:First>
          </b:Person>
        </b:NameList>
      </b:Author>
    </b:Author>
    <b:RefOrder>7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ABAD65333E64B8895DAA9799DD4B9" ma:contentTypeVersion="12" ma:contentTypeDescription="Create a new document." ma:contentTypeScope="" ma:versionID="6a8130f3b198377f3185cc865ab55777">
  <xsd:schema xmlns:xsd="http://www.w3.org/2001/XMLSchema" xmlns:xs="http://www.w3.org/2001/XMLSchema" xmlns:p="http://schemas.microsoft.com/office/2006/metadata/properties" xmlns:ns2="99637af7-127b-4645-bd4f-ee341e633766" xmlns:ns3="1a60ba1f-f66d-4522-a7c1-5d4bded81124" targetNamespace="http://schemas.microsoft.com/office/2006/metadata/properties" ma:root="true" ma:fieldsID="0058ba9251ea3a9b3b575287a87d041c" ns2:_="" ns3:_="">
    <xsd:import namespace="99637af7-127b-4645-bd4f-ee341e633766"/>
    <xsd:import namespace="1a60ba1f-f66d-4522-a7c1-5d4bded81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7af7-127b-4645-bd4f-ee341e63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a1f-f66d-4522-a7c1-5d4bded811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36717c-14ad-469e-88d5-1cc92724e53e}" ma:internalName="TaxCatchAll" ma:showField="CatchAllData" ma:web="1a60ba1f-f66d-4522-a7c1-5d4bded81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7af7-127b-4645-bd4f-ee341e633766">
      <Terms xmlns="http://schemas.microsoft.com/office/infopath/2007/PartnerControls"/>
    </lcf76f155ced4ddcb4097134ff3c332f>
    <TaxCatchAll xmlns="1a60ba1f-f66d-4522-a7c1-5d4bded81124" xsi:nil="true"/>
  </documentManagement>
</p:properties>
</file>

<file path=customXml/itemProps1.xml><?xml version="1.0" encoding="utf-8"?>
<ds:datastoreItem xmlns:ds="http://schemas.openxmlformats.org/officeDocument/2006/customXml" ds:itemID="{6B3DA984-CD66-4C50-9DAC-E0E5F8C6F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16693-BFCE-4CBE-A4CD-FA380D583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538F5-4527-42D8-AA56-3C205070F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7af7-127b-4645-bd4f-ee341e633766"/>
    <ds:schemaRef ds:uri="1a60ba1f-f66d-4522-a7c1-5d4bded81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B397D-8808-4C90-914B-0701D8B80437}">
  <ds:schemaRefs>
    <ds:schemaRef ds:uri="http://schemas.microsoft.com/office/2006/metadata/properties"/>
    <ds:schemaRef ds:uri="http://schemas.microsoft.com/office/infopath/2007/PartnerControls"/>
    <ds:schemaRef ds:uri="99637af7-127b-4645-bd4f-ee341e633766"/>
    <ds:schemaRef ds:uri="1a60ba1f-f66d-4522-a7c1-5d4bded811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Gill</dc:creator>
  <cp:keywords/>
  <dc:description/>
  <cp:lastModifiedBy>Clara Jordan</cp:lastModifiedBy>
  <cp:revision>3</cp:revision>
  <dcterms:created xsi:type="dcterms:W3CDTF">2023-02-03T10:02:00Z</dcterms:created>
  <dcterms:modified xsi:type="dcterms:W3CDTF">2023-06-14T15:53:00Z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0x010100267ABAD65333E64B8895DAA9799DD4B9</vt:lpwstr>
  </property>
</Properties>
</file>