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057DA" w14:textId="0B69DC17" w:rsidR="006B5740" w:rsidRDefault="00C872D4" w:rsidP="00C872D4">
      <w:pPr>
        <w:pStyle w:val="Heading1"/>
        <w:jc w:val="right"/>
        <w:rPr>
          <w:rFonts w:ascii="Calibri" w:hAnsi="Calibri" w:cs="Calibri"/>
        </w:rPr>
      </w:pPr>
      <w:r>
        <w:drawing>
          <wp:inline distT="0" distB="0" distL="0" distR="0" wp14:anchorId="772D0551" wp14:editId="1531DFA7">
            <wp:extent cx="1384300" cy="495300"/>
            <wp:effectExtent l="0" t="0" r="0" b="0"/>
            <wp:docPr id="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495300"/>
                    </a:xfrm>
                    <a:prstGeom prst="rect">
                      <a:avLst/>
                    </a:prstGeom>
                    <a:noFill/>
                    <a:ln>
                      <a:noFill/>
                    </a:ln>
                  </pic:spPr>
                </pic:pic>
              </a:graphicData>
            </a:graphic>
          </wp:inline>
        </w:drawing>
      </w:r>
    </w:p>
    <w:p w14:paraId="66638A5D" w14:textId="35D24C92" w:rsidR="000853B0" w:rsidRPr="00F535B7" w:rsidRDefault="007C73BC" w:rsidP="007C73BC">
      <w:pPr>
        <w:pStyle w:val="Heading1"/>
        <w:rPr>
          <w:rFonts w:ascii="Calibri" w:hAnsi="Calibri" w:cs="Calibri"/>
        </w:rPr>
      </w:pPr>
      <w:r w:rsidRPr="00F535B7">
        <w:rPr>
          <w:rFonts w:ascii="Calibri" w:hAnsi="Calibri" w:cs="Calibri"/>
        </w:rPr>
        <w:t>Legal Basis for Data Processing in Health Research</w:t>
      </w:r>
    </w:p>
    <w:p w14:paraId="4BAC30F4" w14:textId="77777777" w:rsidR="00747E10" w:rsidRPr="00F535B7" w:rsidRDefault="00747E10" w:rsidP="00747E10">
      <w:pPr>
        <w:rPr>
          <w:rFonts w:ascii="Calibri" w:hAnsi="Calibri" w:cs="Calibri"/>
        </w:rPr>
      </w:pPr>
    </w:p>
    <w:p w14:paraId="13BFF538" w14:textId="77777777" w:rsidR="000853B0" w:rsidRPr="00F535B7" w:rsidRDefault="006063C6" w:rsidP="007C73BC">
      <w:pPr>
        <w:pStyle w:val="Heading2"/>
        <w:rPr>
          <w:rFonts w:ascii="Calibri" w:hAnsi="Calibri" w:cs="Calibri"/>
          <w:b/>
        </w:rPr>
      </w:pPr>
      <w:r w:rsidRPr="00F535B7">
        <w:rPr>
          <w:rFonts w:ascii="Calibri" w:hAnsi="Calibri" w:cs="Calibri"/>
          <w:b/>
        </w:rPr>
        <w:t>Introduction</w:t>
      </w:r>
    </w:p>
    <w:p w14:paraId="180E9F82" w14:textId="262884D0" w:rsidR="00813148" w:rsidRPr="00F535B7" w:rsidRDefault="007C73BC" w:rsidP="007C73BC">
      <w:pPr>
        <w:rPr>
          <w:rFonts w:ascii="Calibri" w:hAnsi="Calibri" w:cs="Calibri"/>
        </w:rPr>
      </w:pPr>
      <w:r w:rsidRPr="00F535B7">
        <w:rPr>
          <w:rFonts w:ascii="Calibri" w:hAnsi="Calibri" w:cs="Calibri"/>
        </w:rPr>
        <w:t xml:space="preserve">Processing of personal data </w:t>
      </w:r>
      <w:r w:rsidR="00813148" w:rsidRPr="00F535B7">
        <w:rPr>
          <w:rFonts w:ascii="Calibri" w:hAnsi="Calibri" w:cs="Calibri"/>
        </w:rPr>
        <w:t>for</w:t>
      </w:r>
      <w:r w:rsidRPr="00F535B7">
        <w:rPr>
          <w:rFonts w:ascii="Calibri" w:hAnsi="Calibri" w:cs="Calibri"/>
        </w:rPr>
        <w:t xml:space="preserve"> </w:t>
      </w:r>
      <w:r w:rsidR="00D01ED0">
        <w:rPr>
          <w:rFonts w:ascii="Calibri" w:hAnsi="Calibri" w:cs="Calibri"/>
        </w:rPr>
        <w:t>h</w:t>
      </w:r>
      <w:r w:rsidR="00B84246" w:rsidRPr="00F535B7">
        <w:rPr>
          <w:rFonts w:ascii="Calibri" w:hAnsi="Calibri" w:cs="Calibri"/>
        </w:rPr>
        <w:t xml:space="preserve">ealth </w:t>
      </w:r>
      <w:r w:rsidR="00D01ED0">
        <w:rPr>
          <w:rFonts w:ascii="Calibri" w:hAnsi="Calibri" w:cs="Calibri"/>
        </w:rPr>
        <w:t>r</w:t>
      </w:r>
      <w:r w:rsidRPr="00F535B7">
        <w:rPr>
          <w:rFonts w:ascii="Calibri" w:hAnsi="Calibri" w:cs="Calibri"/>
        </w:rPr>
        <w:t xml:space="preserve">esearch requires a legal basis under </w:t>
      </w:r>
      <w:hyperlink r:id="rId12" w:history="1">
        <w:r w:rsidRPr="00C350C3">
          <w:rPr>
            <w:rStyle w:val="Hyperlink"/>
            <w:rFonts w:ascii="Calibri" w:hAnsi="Calibri" w:cs="Calibri"/>
          </w:rPr>
          <w:t>Article 6 of the GDPR</w:t>
        </w:r>
      </w:hyperlink>
      <w:r w:rsidRPr="00F535B7">
        <w:rPr>
          <w:rFonts w:ascii="Calibri" w:hAnsi="Calibri" w:cs="Calibri"/>
        </w:rPr>
        <w:t xml:space="preserve">. Where there is </w:t>
      </w:r>
      <w:r w:rsidR="005559CA" w:rsidRPr="00F535B7">
        <w:rPr>
          <w:rFonts w:ascii="Calibri" w:hAnsi="Calibri" w:cs="Calibri"/>
        </w:rPr>
        <w:t>p</w:t>
      </w:r>
      <w:r w:rsidRPr="00F535B7">
        <w:rPr>
          <w:rFonts w:ascii="Calibri" w:hAnsi="Calibri" w:cs="Calibri"/>
        </w:rPr>
        <w:t>rocessing of personal data which contains special category data</w:t>
      </w:r>
      <w:r w:rsidR="00955E10" w:rsidRPr="00F535B7">
        <w:rPr>
          <w:rFonts w:ascii="Calibri" w:hAnsi="Calibri" w:cs="Calibri"/>
        </w:rPr>
        <w:t>, for example,</w:t>
      </w:r>
      <w:r w:rsidR="00B84246" w:rsidRPr="00F535B7">
        <w:rPr>
          <w:rFonts w:ascii="Calibri" w:hAnsi="Calibri" w:cs="Calibri"/>
        </w:rPr>
        <w:t xml:space="preserve"> </w:t>
      </w:r>
      <w:r w:rsidRPr="00F535B7">
        <w:rPr>
          <w:rFonts w:ascii="Calibri" w:hAnsi="Calibri" w:cs="Calibri"/>
        </w:rPr>
        <w:t>data concerning health</w:t>
      </w:r>
      <w:r w:rsidR="00955E10" w:rsidRPr="00F535B7">
        <w:rPr>
          <w:rFonts w:ascii="Calibri" w:hAnsi="Calibri" w:cs="Calibri"/>
        </w:rPr>
        <w:t xml:space="preserve">, </w:t>
      </w:r>
      <w:r w:rsidRPr="00F535B7">
        <w:rPr>
          <w:rFonts w:ascii="Calibri" w:hAnsi="Calibri" w:cs="Calibri"/>
        </w:rPr>
        <w:t xml:space="preserve">for </w:t>
      </w:r>
      <w:r w:rsidR="00D01ED0">
        <w:rPr>
          <w:rFonts w:ascii="Calibri" w:hAnsi="Calibri" w:cs="Calibri"/>
        </w:rPr>
        <w:t>h</w:t>
      </w:r>
      <w:r w:rsidRPr="00F535B7">
        <w:rPr>
          <w:rFonts w:ascii="Calibri" w:hAnsi="Calibri" w:cs="Calibri"/>
        </w:rPr>
        <w:t xml:space="preserve">ealth </w:t>
      </w:r>
      <w:r w:rsidR="00D01ED0">
        <w:rPr>
          <w:rFonts w:ascii="Calibri" w:hAnsi="Calibri" w:cs="Calibri"/>
        </w:rPr>
        <w:t>r</w:t>
      </w:r>
      <w:r w:rsidRPr="00F535B7">
        <w:rPr>
          <w:rFonts w:ascii="Calibri" w:hAnsi="Calibri" w:cs="Calibri"/>
        </w:rPr>
        <w:t>esearch, such processing requires a legal basis under Article 6 and a condition</w:t>
      </w:r>
      <w:r w:rsidR="00B84246" w:rsidRPr="00F535B7">
        <w:rPr>
          <w:rFonts w:ascii="Calibri" w:hAnsi="Calibri" w:cs="Calibri"/>
        </w:rPr>
        <w:t xml:space="preserve"> for processing</w:t>
      </w:r>
      <w:r w:rsidRPr="00F535B7">
        <w:rPr>
          <w:rFonts w:ascii="Calibri" w:hAnsi="Calibri" w:cs="Calibri"/>
        </w:rPr>
        <w:t xml:space="preserve"> under </w:t>
      </w:r>
      <w:hyperlink r:id="rId13" w:history="1">
        <w:r w:rsidRPr="00C350C3">
          <w:rPr>
            <w:rStyle w:val="Hyperlink"/>
            <w:rFonts w:ascii="Calibri" w:hAnsi="Calibri" w:cs="Calibri"/>
          </w:rPr>
          <w:t>Article 9 of the GDPR</w:t>
        </w:r>
      </w:hyperlink>
      <w:r w:rsidR="00C350C3">
        <w:rPr>
          <w:rFonts w:ascii="Calibri" w:hAnsi="Calibri" w:cs="Calibri"/>
        </w:rPr>
        <w:t>s</w:t>
      </w:r>
      <w:r w:rsidRPr="00F535B7">
        <w:rPr>
          <w:rFonts w:ascii="Calibri" w:hAnsi="Calibri" w:cs="Calibri"/>
        </w:rPr>
        <w:t xml:space="preserve">. </w:t>
      </w:r>
    </w:p>
    <w:p w14:paraId="0409EFAF" w14:textId="14B1778F" w:rsidR="008E346E" w:rsidRPr="00F535B7" w:rsidRDefault="00813148" w:rsidP="007C73BC">
      <w:pPr>
        <w:rPr>
          <w:rFonts w:ascii="Calibri" w:hAnsi="Calibri" w:cs="Calibri"/>
        </w:rPr>
      </w:pPr>
      <w:r w:rsidRPr="00F535B7">
        <w:rPr>
          <w:rFonts w:ascii="Calibri" w:hAnsi="Calibri" w:cs="Calibri"/>
        </w:rPr>
        <w:t xml:space="preserve">It is important to note that the Controller for the processing of personal data for the purposes of the health research is responsible for determining the appropriate </w:t>
      </w:r>
      <w:r w:rsidR="00DA075D" w:rsidRPr="00F535B7">
        <w:rPr>
          <w:rFonts w:ascii="Calibri" w:hAnsi="Calibri" w:cs="Calibri"/>
        </w:rPr>
        <w:t>l</w:t>
      </w:r>
      <w:r w:rsidRPr="00F535B7">
        <w:rPr>
          <w:rFonts w:ascii="Calibri" w:hAnsi="Calibri" w:cs="Calibri"/>
        </w:rPr>
        <w:t xml:space="preserve">egal </w:t>
      </w:r>
      <w:r w:rsidR="00DA075D" w:rsidRPr="00F535B7">
        <w:rPr>
          <w:rFonts w:ascii="Calibri" w:hAnsi="Calibri" w:cs="Calibri"/>
        </w:rPr>
        <w:t>b</w:t>
      </w:r>
      <w:r w:rsidRPr="00F535B7">
        <w:rPr>
          <w:rFonts w:ascii="Calibri" w:hAnsi="Calibri" w:cs="Calibri"/>
        </w:rPr>
        <w:t xml:space="preserve">asis and </w:t>
      </w:r>
      <w:r w:rsidR="00DA075D" w:rsidRPr="00F535B7">
        <w:rPr>
          <w:rFonts w:ascii="Calibri" w:hAnsi="Calibri" w:cs="Calibri"/>
        </w:rPr>
        <w:t>c</w:t>
      </w:r>
      <w:r w:rsidRPr="00F535B7">
        <w:rPr>
          <w:rFonts w:ascii="Calibri" w:hAnsi="Calibri" w:cs="Calibri"/>
        </w:rPr>
        <w:t>ondition for processing personal data. If your organisation is not the Controller, you must defer to the organisation that is the Controller.</w:t>
      </w:r>
    </w:p>
    <w:p w14:paraId="0C3CBB8F" w14:textId="7B7BF6C7" w:rsidR="007C73BC" w:rsidRPr="00F535B7" w:rsidRDefault="007C73BC" w:rsidP="007C73BC">
      <w:pPr>
        <w:rPr>
          <w:rFonts w:ascii="Calibri" w:hAnsi="Calibri" w:cs="Calibri"/>
        </w:rPr>
      </w:pPr>
      <w:r w:rsidRPr="00F535B7">
        <w:rPr>
          <w:rFonts w:ascii="Calibri" w:hAnsi="Calibri" w:cs="Calibri"/>
        </w:rPr>
        <w:t xml:space="preserve">The </w:t>
      </w:r>
      <w:r w:rsidR="00C702F2" w:rsidRPr="00F535B7">
        <w:rPr>
          <w:rFonts w:ascii="Calibri" w:hAnsi="Calibri" w:cs="Calibri"/>
        </w:rPr>
        <w:t>l</w:t>
      </w:r>
      <w:r w:rsidRPr="00F535B7">
        <w:rPr>
          <w:rFonts w:ascii="Calibri" w:hAnsi="Calibri" w:cs="Calibri"/>
        </w:rPr>
        <w:t xml:space="preserve">egal </w:t>
      </w:r>
      <w:r w:rsidR="00C702F2" w:rsidRPr="00F535B7">
        <w:rPr>
          <w:rFonts w:ascii="Calibri" w:hAnsi="Calibri" w:cs="Calibri"/>
        </w:rPr>
        <w:t>b</w:t>
      </w:r>
      <w:r w:rsidRPr="00F535B7">
        <w:rPr>
          <w:rFonts w:ascii="Calibri" w:hAnsi="Calibri" w:cs="Calibri"/>
        </w:rPr>
        <w:t xml:space="preserve">asis for </w:t>
      </w:r>
      <w:r w:rsidR="00C702F2" w:rsidRPr="00F535B7">
        <w:rPr>
          <w:rFonts w:ascii="Calibri" w:hAnsi="Calibri" w:cs="Calibri"/>
        </w:rPr>
        <w:t>p</w:t>
      </w:r>
      <w:r w:rsidRPr="00F535B7">
        <w:rPr>
          <w:rFonts w:ascii="Calibri" w:hAnsi="Calibri" w:cs="Calibri"/>
        </w:rPr>
        <w:t xml:space="preserve">rocessing of personal data in health research </w:t>
      </w:r>
      <w:r w:rsidR="00805353" w:rsidRPr="00F535B7">
        <w:rPr>
          <w:rFonts w:ascii="Calibri" w:hAnsi="Calibri" w:cs="Calibri"/>
        </w:rPr>
        <w:t>must be distinguished</w:t>
      </w:r>
      <w:r w:rsidRPr="00F535B7">
        <w:rPr>
          <w:rFonts w:ascii="Calibri" w:hAnsi="Calibri" w:cs="Calibri"/>
        </w:rPr>
        <w:t xml:space="preserve"> from </w:t>
      </w:r>
      <w:r w:rsidR="00C702F2" w:rsidRPr="00F535B7">
        <w:rPr>
          <w:rFonts w:ascii="Calibri" w:hAnsi="Calibri" w:cs="Calibri"/>
        </w:rPr>
        <w:t>c</w:t>
      </w:r>
      <w:r w:rsidRPr="00F535B7">
        <w:rPr>
          <w:rFonts w:ascii="Calibri" w:hAnsi="Calibri" w:cs="Calibri"/>
        </w:rPr>
        <w:t xml:space="preserve">onsent required for </w:t>
      </w:r>
      <w:r w:rsidR="00C702F2" w:rsidRPr="00F535B7">
        <w:rPr>
          <w:rFonts w:ascii="Calibri" w:hAnsi="Calibri" w:cs="Calibri"/>
        </w:rPr>
        <w:t>e</w:t>
      </w:r>
      <w:r w:rsidRPr="00F535B7">
        <w:rPr>
          <w:rFonts w:ascii="Calibri" w:hAnsi="Calibri" w:cs="Calibri"/>
        </w:rPr>
        <w:t>thical reasons or for Clinical Trial Regulation</w:t>
      </w:r>
      <w:r w:rsidR="00C350C3">
        <w:rPr>
          <w:rFonts w:ascii="Calibri" w:hAnsi="Calibri" w:cs="Calibri"/>
        </w:rPr>
        <w:t>s</w:t>
      </w:r>
      <w:r w:rsidRPr="00F535B7">
        <w:rPr>
          <w:rFonts w:ascii="Calibri" w:hAnsi="Calibri" w:cs="Calibri"/>
        </w:rPr>
        <w:t xml:space="preserve"> compliance or for compliance with the </w:t>
      </w:r>
      <w:r w:rsidR="00B84246" w:rsidRPr="00F535B7">
        <w:rPr>
          <w:rFonts w:ascii="Calibri" w:hAnsi="Calibri" w:cs="Calibri"/>
        </w:rPr>
        <w:t xml:space="preserve">National </w:t>
      </w:r>
      <w:r w:rsidRPr="00F535B7">
        <w:rPr>
          <w:rFonts w:ascii="Calibri" w:hAnsi="Calibri" w:cs="Calibri"/>
        </w:rPr>
        <w:t>Consent Polic</w:t>
      </w:r>
      <w:r w:rsidR="00B84246" w:rsidRPr="00F535B7">
        <w:rPr>
          <w:rFonts w:ascii="Calibri" w:hAnsi="Calibri" w:cs="Calibri"/>
        </w:rPr>
        <w:t>y</w:t>
      </w:r>
      <w:r w:rsidRPr="00F535B7">
        <w:rPr>
          <w:rFonts w:ascii="Calibri" w:hAnsi="Calibri" w:cs="Calibri"/>
        </w:rPr>
        <w:t xml:space="preserve">. Researchers </w:t>
      </w:r>
      <w:r w:rsidR="00B84246" w:rsidRPr="00F535B7">
        <w:rPr>
          <w:rFonts w:ascii="Calibri" w:hAnsi="Calibri" w:cs="Calibri"/>
        </w:rPr>
        <w:t xml:space="preserve">may be </w:t>
      </w:r>
      <w:r w:rsidRPr="00F535B7">
        <w:rPr>
          <w:rFonts w:ascii="Calibri" w:hAnsi="Calibri" w:cs="Calibri"/>
        </w:rPr>
        <w:t>require</w:t>
      </w:r>
      <w:r w:rsidR="00B84246" w:rsidRPr="00F535B7">
        <w:rPr>
          <w:rFonts w:ascii="Calibri" w:hAnsi="Calibri" w:cs="Calibri"/>
        </w:rPr>
        <w:t>d to obtain</w:t>
      </w:r>
      <w:r w:rsidRPr="00F535B7">
        <w:rPr>
          <w:rFonts w:ascii="Calibri" w:hAnsi="Calibri" w:cs="Calibri"/>
        </w:rPr>
        <w:t xml:space="preserve"> consent</w:t>
      </w:r>
      <w:r w:rsidR="00805353" w:rsidRPr="00F535B7">
        <w:rPr>
          <w:rFonts w:ascii="Calibri" w:hAnsi="Calibri" w:cs="Calibri"/>
        </w:rPr>
        <w:t xml:space="preserve"> to meet these requirements,</w:t>
      </w:r>
      <w:r w:rsidRPr="00F535B7">
        <w:rPr>
          <w:rFonts w:ascii="Calibri" w:hAnsi="Calibri" w:cs="Calibri"/>
        </w:rPr>
        <w:t xml:space="preserve"> but </w:t>
      </w:r>
      <w:r w:rsidR="00B84246" w:rsidRPr="00F535B7">
        <w:rPr>
          <w:rFonts w:ascii="Calibri" w:hAnsi="Calibri" w:cs="Calibri"/>
        </w:rPr>
        <w:t>consent won’t</w:t>
      </w:r>
      <w:r w:rsidRPr="00F535B7">
        <w:rPr>
          <w:rFonts w:ascii="Calibri" w:hAnsi="Calibri" w:cs="Calibri"/>
        </w:rPr>
        <w:t xml:space="preserve"> necessarily be the legal basis for data processing.</w:t>
      </w:r>
    </w:p>
    <w:p w14:paraId="10F40C28" w14:textId="1EC3531A" w:rsidR="007C73BC" w:rsidRPr="00F535B7" w:rsidRDefault="007C73BC" w:rsidP="006063C6">
      <w:pPr>
        <w:pStyle w:val="Heading3"/>
        <w:rPr>
          <w:rFonts w:ascii="Calibri" w:hAnsi="Calibri" w:cs="Calibri"/>
          <w:b/>
          <w:bCs/>
        </w:rPr>
      </w:pPr>
      <w:r w:rsidRPr="00F535B7">
        <w:rPr>
          <w:rFonts w:ascii="Calibri" w:hAnsi="Calibri" w:cs="Calibri"/>
          <w:b/>
          <w:bCs/>
        </w:rPr>
        <w:t>Legal Basis</w:t>
      </w:r>
      <w:r w:rsidR="00EE3A2F" w:rsidRPr="00F535B7">
        <w:rPr>
          <w:rFonts w:ascii="Calibri" w:hAnsi="Calibri" w:cs="Calibri"/>
          <w:b/>
          <w:bCs/>
        </w:rPr>
        <w:t xml:space="preserve"> </w:t>
      </w:r>
      <w:r w:rsidR="001A0798" w:rsidRPr="00F535B7">
        <w:rPr>
          <w:rFonts w:ascii="Calibri" w:hAnsi="Calibri" w:cs="Calibri"/>
          <w:b/>
          <w:bCs/>
        </w:rPr>
        <w:t>and</w:t>
      </w:r>
      <w:r w:rsidR="00EE3A2F" w:rsidRPr="00F535B7">
        <w:rPr>
          <w:rFonts w:ascii="Calibri" w:hAnsi="Calibri" w:cs="Calibri"/>
          <w:b/>
          <w:bCs/>
        </w:rPr>
        <w:t xml:space="preserve"> Condition for Processing</w:t>
      </w:r>
    </w:p>
    <w:p w14:paraId="7D831EA3" w14:textId="13AAB390" w:rsidR="007C73BC" w:rsidRPr="00F535B7" w:rsidRDefault="007C73BC" w:rsidP="007C73BC">
      <w:pPr>
        <w:rPr>
          <w:rFonts w:ascii="Calibri" w:hAnsi="Calibri" w:cs="Calibri"/>
        </w:rPr>
      </w:pPr>
      <w:r w:rsidRPr="00F535B7">
        <w:rPr>
          <w:rFonts w:ascii="Calibri" w:hAnsi="Calibri" w:cs="Calibri"/>
        </w:rPr>
        <w:t xml:space="preserve">The following </w:t>
      </w:r>
      <w:r w:rsidR="001A0798" w:rsidRPr="00F535B7">
        <w:rPr>
          <w:rFonts w:ascii="Calibri" w:hAnsi="Calibri" w:cs="Calibri"/>
        </w:rPr>
        <w:t>l</w:t>
      </w:r>
      <w:r w:rsidRPr="00F535B7">
        <w:rPr>
          <w:rFonts w:ascii="Calibri" w:hAnsi="Calibri" w:cs="Calibri"/>
        </w:rPr>
        <w:t xml:space="preserve">egal </w:t>
      </w:r>
      <w:r w:rsidR="001A0798" w:rsidRPr="00F535B7">
        <w:rPr>
          <w:rFonts w:ascii="Calibri" w:hAnsi="Calibri" w:cs="Calibri"/>
        </w:rPr>
        <w:t>b</w:t>
      </w:r>
      <w:r w:rsidRPr="00F535B7">
        <w:rPr>
          <w:rFonts w:ascii="Calibri" w:hAnsi="Calibri" w:cs="Calibri"/>
        </w:rPr>
        <w:t xml:space="preserve">asis </w:t>
      </w:r>
      <w:r w:rsidR="00EE3A2F" w:rsidRPr="00F535B7">
        <w:rPr>
          <w:rFonts w:ascii="Calibri" w:hAnsi="Calibri" w:cs="Calibri"/>
        </w:rPr>
        <w:t xml:space="preserve">is </w:t>
      </w:r>
      <w:r w:rsidRPr="00F535B7">
        <w:rPr>
          <w:rFonts w:ascii="Calibri" w:hAnsi="Calibri" w:cs="Calibri"/>
        </w:rPr>
        <w:t>the most</w:t>
      </w:r>
      <w:r w:rsidR="00D247FE" w:rsidRPr="00F535B7">
        <w:rPr>
          <w:rFonts w:ascii="Calibri" w:hAnsi="Calibri" w:cs="Calibri"/>
        </w:rPr>
        <w:t xml:space="preserve"> appropriate</w:t>
      </w:r>
      <w:r w:rsidRPr="00F535B7">
        <w:rPr>
          <w:rFonts w:ascii="Calibri" w:hAnsi="Calibri" w:cs="Calibri"/>
        </w:rPr>
        <w:t xml:space="preserve"> in non-commercial health research: </w:t>
      </w:r>
    </w:p>
    <w:tbl>
      <w:tblPr>
        <w:tblStyle w:val="TableGrid"/>
        <w:tblW w:w="0" w:type="auto"/>
        <w:tblLook w:val="04A0" w:firstRow="1" w:lastRow="0" w:firstColumn="1" w:lastColumn="0" w:noHBand="0" w:noVBand="1"/>
      </w:tblPr>
      <w:tblGrid>
        <w:gridCol w:w="9016"/>
      </w:tblGrid>
      <w:tr w:rsidR="007C73BC" w:rsidRPr="00F535B7" w14:paraId="419FDA2C" w14:textId="77777777" w:rsidTr="007C73BC">
        <w:tc>
          <w:tcPr>
            <w:tcW w:w="9016" w:type="dxa"/>
            <w:shd w:val="clear" w:color="auto" w:fill="C5E0B3" w:themeFill="accent6" w:themeFillTint="66"/>
          </w:tcPr>
          <w:p w14:paraId="2A3B57B1" w14:textId="77777777" w:rsidR="007C73BC" w:rsidRPr="00F535B7" w:rsidRDefault="007C73BC" w:rsidP="007C73BC">
            <w:pPr>
              <w:rPr>
                <w:rFonts w:ascii="Calibri" w:hAnsi="Calibri" w:cs="Calibri"/>
              </w:rPr>
            </w:pPr>
            <w:r w:rsidRPr="00F535B7">
              <w:rPr>
                <w:rFonts w:ascii="Calibri" w:hAnsi="Calibri" w:cs="Calibri"/>
                <w:b/>
              </w:rPr>
              <w:t>Article 6(1)(e) of the GDPR</w:t>
            </w:r>
            <w:r w:rsidRPr="00F535B7">
              <w:rPr>
                <w:rFonts w:ascii="Calibri" w:hAnsi="Calibri" w:cs="Calibri"/>
              </w:rPr>
              <w:t xml:space="preserve"> processing is necessary for the performance of a task carried out in the public interest or in the exercise of official authority vested in the controller;</w:t>
            </w:r>
          </w:p>
        </w:tc>
      </w:tr>
    </w:tbl>
    <w:p w14:paraId="2C819EA8" w14:textId="75B826A0" w:rsidR="00EE3A2F" w:rsidRPr="00F535B7" w:rsidRDefault="00EE3A2F" w:rsidP="00977C07">
      <w:pPr>
        <w:spacing w:before="240"/>
        <w:rPr>
          <w:rFonts w:ascii="Calibri" w:hAnsi="Calibri" w:cs="Calibri"/>
        </w:rPr>
      </w:pPr>
      <w:r w:rsidRPr="00F535B7">
        <w:rPr>
          <w:rFonts w:ascii="Calibri" w:hAnsi="Calibri" w:cs="Calibri"/>
        </w:rPr>
        <w:t xml:space="preserve">In the context of </w:t>
      </w:r>
      <w:r w:rsidR="00A7481F">
        <w:rPr>
          <w:rFonts w:ascii="Calibri" w:hAnsi="Calibri" w:cs="Calibri"/>
        </w:rPr>
        <w:t>h</w:t>
      </w:r>
      <w:r w:rsidRPr="00F535B7">
        <w:rPr>
          <w:rFonts w:ascii="Calibri" w:hAnsi="Calibri" w:cs="Calibri"/>
        </w:rPr>
        <w:t xml:space="preserve">ealth </w:t>
      </w:r>
      <w:r w:rsidR="00A7481F">
        <w:rPr>
          <w:rFonts w:ascii="Calibri" w:hAnsi="Calibri" w:cs="Calibri"/>
        </w:rPr>
        <w:t>r</w:t>
      </w:r>
      <w:r w:rsidRPr="00F535B7">
        <w:rPr>
          <w:rFonts w:ascii="Calibri" w:hAnsi="Calibri" w:cs="Calibri"/>
        </w:rPr>
        <w:t>esearch, the following condition for processing is the most commonly seen:</w:t>
      </w:r>
    </w:p>
    <w:tbl>
      <w:tblPr>
        <w:tblStyle w:val="TableGrid"/>
        <w:tblW w:w="0" w:type="auto"/>
        <w:tblLook w:val="04A0" w:firstRow="1" w:lastRow="0" w:firstColumn="1" w:lastColumn="0" w:noHBand="0" w:noVBand="1"/>
      </w:tblPr>
      <w:tblGrid>
        <w:gridCol w:w="9016"/>
      </w:tblGrid>
      <w:tr w:rsidR="007C73BC" w:rsidRPr="00F535B7" w14:paraId="1E036A17" w14:textId="77777777" w:rsidTr="007C73BC">
        <w:tc>
          <w:tcPr>
            <w:tcW w:w="9016" w:type="dxa"/>
            <w:shd w:val="clear" w:color="auto" w:fill="C5E0B3" w:themeFill="accent6" w:themeFillTint="66"/>
          </w:tcPr>
          <w:p w14:paraId="03B05040" w14:textId="77777777" w:rsidR="007C73BC" w:rsidRPr="00F535B7" w:rsidRDefault="007C73BC" w:rsidP="007C73BC">
            <w:pPr>
              <w:rPr>
                <w:rFonts w:ascii="Calibri" w:hAnsi="Calibri" w:cs="Calibri"/>
              </w:rPr>
            </w:pPr>
            <w:r w:rsidRPr="00F535B7">
              <w:rPr>
                <w:rFonts w:ascii="Calibri" w:hAnsi="Calibri" w:cs="Calibri"/>
                <w:b/>
                <w:bCs/>
                <w:lang w:val="en-US"/>
              </w:rPr>
              <w:t>Article 9(2)(j) of the GDPR</w:t>
            </w:r>
            <w:r w:rsidRPr="00F535B7">
              <w:rPr>
                <w:rFonts w:ascii="Calibri" w:hAnsi="Calibri" w:cs="Calibri"/>
                <w:lang w:val="en-US"/>
              </w:rPr>
              <w:t xml:space="preserve"> processing is necessary for archiving purposes in the public interest, </w:t>
            </w:r>
            <w:r w:rsidRPr="00F535B7">
              <w:rPr>
                <w:rFonts w:ascii="Calibri" w:hAnsi="Calibri" w:cs="Calibri"/>
                <w:b/>
                <w:bCs/>
                <w:lang w:val="en-US"/>
              </w:rPr>
              <w:t>scientific or historical research</w:t>
            </w:r>
            <w:r w:rsidRPr="00F535B7">
              <w:rPr>
                <w:rFonts w:ascii="Calibri" w:hAnsi="Calibri" w:cs="Calibri"/>
                <w:lang w:val="en-US"/>
              </w:rPr>
              <w:t xml:space="preserve"> purposes or statistical purposes … and provide for suitable and specific measures to safeguard the fundamental rights and the interests of the data subject.</w:t>
            </w:r>
            <w:r w:rsidRPr="00F535B7">
              <w:rPr>
                <w:rFonts w:ascii="Calibri" w:hAnsi="Calibri" w:cs="Calibri"/>
                <w:lang w:val="en-IE"/>
              </w:rPr>
              <w:t> </w:t>
            </w:r>
          </w:p>
        </w:tc>
      </w:tr>
    </w:tbl>
    <w:p w14:paraId="0409A8BC" w14:textId="52EDF87B" w:rsidR="007C73BC" w:rsidRPr="00F535B7" w:rsidRDefault="006063C6" w:rsidP="006063C6">
      <w:pPr>
        <w:spacing w:before="240"/>
        <w:rPr>
          <w:rFonts w:ascii="Calibri" w:hAnsi="Calibri" w:cs="Calibri"/>
        </w:rPr>
      </w:pPr>
      <w:r w:rsidRPr="00F535B7">
        <w:rPr>
          <w:rFonts w:ascii="Calibri" w:hAnsi="Calibri" w:cs="Calibri"/>
        </w:rPr>
        <w:t>Article 6(1)</w:t>
      </w:r>
      <w:r w:rsidR="007C73BC" w:rsidRPr="00F535B7">
        <w:rPr>
          <w:rFonts w:ascii="Calibri" w:hAnsi="Calibri" w:cs="Calibri"/>
        </w:rPr>
        <w:t xml:space="preserve">(e) is </w:t>
      </w:r>
      <w:r w:rsidR="00813148" w:rsidRPr="00F535B7">
        <w:rPr>
          <w:rFonts w:ascii="Calibri" w:hAnsi="Calibri" w:cs="Calibri"/>
        </w:rPr>
        <w:t xml:space="preserve">relied on </w:t>
      </w:r>
      <w:r w:rsidR="007C73BC" w:rsidRPr="00F535B7">
        <w:rPr>
          <w:rFonts w:ascii="Calibri" w:hAnsi="Calibri" w:cs="Calibri"/>
        </w:rPr>
        <w:t xml:space="preserve">as a legal basis for data processing </w:t>
      </w:r>
      <w:r w:rsidR="00813148" w:rsidRPr="00F535B7">
        <w:rPr>
          <w:rFonts w:ascii="Calibri" w:hAnsi="Calibri" w:cs="Calibri"/>
        </w:rPr>
        <w:t xml:space="preserve">for health research </w:t>
      </w:r>
      <w:r w:rsidR="007C73BC" w:rsidRPr="00F535B7">
        <w:rPr>
          <w:rFonts w:ascii="Calibri" w:hAnsi="Calibri" w:cs="Calibri"/>
        </w:rPr>
        <w:t>by H</w:t>
      </w:r>
      <w:r w:rsidR="00D54C06" w:rsidRPr="00F535B7">
        <w:rPr>
          <w:rFonts w:ascii="Calibri" w:hAnsi="Calibri" w:cs="Calibri"/>
        </w:rPr>
        <w:t xml:space="preserve">ealth </w:t>
      </w:r>
      <w:r w:rsidR="007C73BC" w:rsidRPr="00F535B7">
        <w:rPr>
          <w:rFonts w:ascii="Calibri" w:hAnsi="Calibri" w:cs="Calibri"/>
        </w:rPr>
        <w:t>R</w:t>
      </w:r>
      <w:r w:rsidR="00D54C06" w:rsidRPr="00F535B7">
        <w:rPr>
          <w:rFonts w:ascii="Calibri" w:hAnsi="Calibri" w:cs="Calibri"/>
        </w:rPr>
        <w:t xml:space="preserve">esearch </w:t>
      </w:r>
      <w:r w:rsidR="007C73BC" w:rsidRPr="00F535B7">
        <w:rPr>
          <w:rFonts w:ascii="Calibri" w:hAnsi="Calibri" w:cs="Calibri"/>
        </w:rPr>
        <w:t>D</w:t>
      </w:r>
      <w:r w:rsidR="00D54C06" w:rsidRPr="00F535B7">
        <w:rPr>
          <w:rFonts w:ascii="Calibri" w:hAnsi="Calibri" w:cs="Calibri"/>
        </w:rPr>
        <w:t xml:space="preserve">ata </w:t>
      </w:r>
      <w:r w:rsidR="007C73BC" w:rsidRPr="00F535B7">
        <w:rPr>
          <w:rFonts w:ascii="Calibri" w:hAnsi="Calibri" w:cs="Calibri"/>
        </w:rPr>
        <w:t>P</w:t>
      </w:r>
      <w:r w:rsidR="00D54C06" w:rsidRPr="00F535B7">
        <w:rPr>
          <w:rFonts w:ascii="Calibri" w:hAnsi="Calibri" w:cs="Calibri"/>
        </w:rPr>
        <w:t xml:space="preserve">rotection </w:t>
      </w:r>
      <w:r w:rsidR="007C73BC" w:rsidRPr="00F535B7">
        <w:rPr>
          <w:rFonts w:ascii="Calibri" w:hAnsi="Calibri" w:cs="Calibri"/>
        </w:rPr>
        <w:t>N</w:t>
      </w:r>
      <w:r w:rsidR="00D54C06" w:rsidRPr="00F535B7">
        <w:rPr>
          <w:rFonts w:ascii="Calibri" w:hAnsi="Calibri" w:cs="Calibri"/>
        </w:rPr>
        <w:t>etwork</w:t>
      </w:r>
      <w:r w:rsidR="00153D82" w:rsidRPr="00F535B7">
        <w:rPr>
          <w:rFonts w:ascii="Calibri" w:hAnsi="Calibri" w:cs="Calibri"/>
        </w:rPr>
        <w:t xml:space="preserve"> (HRDPN)</w:t>
      </w:r>
      <w:r w:rsidR="007C73BC" w:rsidRPr="00F535B7">
        <w:rPr>
          <w:rFonts w:ascii="Calibri" w:hAnsi="Calibri" w:cs="Calibri"/>
        </w:rPr>
        <w:t xml:space="preserve"> </w:t>
      </w:r>
      <w:r w:rsidR="002E15AC">
        <w:rPr>
          <w:rFonts w:ascii="Calibri" w:hAnsi="Calibri" w:cs="Calibri"/>
        </w:rPr>
        <w:t>m</w:t>
      </w:r>
      <w:r w:rsidR="007C73BC" w:rsidRPr="00F535B7">
        <w:rPr>
          <w:rFonts w:ascii="Calibri" w:hAnsi="Calibri" w:cs="Calibri"/>
        </w:rPr>
        <w:t xml:space="preserve">embers as its members are: </w:t>
      </w:r>
    </w:p>
    <w:p w14:paraId="019AE681" w14:textId="77F99B75" w:rsidR="007C73BC" w:rsidRPr="00F535B7" w:rsidRDefault="007C73BC" w:rsidP="006063C6">
      <w:pPr>
        <w:pStyle w:val="ListParagraph"/>
        <w:numPr>
          <w:ilvl w:val="0"/>
          <w:numId w:val="3"/>
        </w:numPr>
        <w:rPr>
          <w:rFonts w:ascii="Calibri" w:hAnsi="Calibri" w:cs="Calibri"/>
        </w:rPr>
      </w:pPr>
      <w:r w:rsidRPr="00F535B7">
        <w:rPr>
          <w:rFonts w:ascii="Calibri" w:hAnsi="Calibri" w:cs="Calibri"/>
        </w:rPr>
        <w:t xml:space="preserve">Public hospitals funded by the exchequer, who are empowered to commission or collaborate in research pursuant to its objects and functions under </w:t>
      </w:r>
      <w:hyperlink r:id="rId14" w:anchor="sec7" w:history="1">
        <w:r w:rsidRPr="00F535B7">
          <w:rPr>
            <w:rStyle w:val="Hyperlink"/>
            <w:rFonts w:ascii="Calibri" w:hAnsi="Calibri" w:cs="Calibri"/>
          </w:rPr>
          <w:t>Section 7 of the Health Act 2004</w:t>
        </w:r>
      </w:hyperlink>
      <w:r w:rsidRPr="00F535B7">
        <w:rPr>
          <w:rFonts w:ascii="Calibri" w:hAnsi="Calibri" w:cs="Calibri"/>
        </w:rPr>
        <w:t xml:space="preserve">. </w:t>
      </w:r>
    </w:p>
    <w:p w14:paraId="2E898ACD" w14:textId="73A97BDA" w:rsidR="007C73BC" w:rsidRPr="00F535B7" w:rsidRDefault="007C73BC" w:rsidP="006063C6">
      <w:pPr>
        <w:pStyle w:val="ListParagraph"/>
        <w:numPr>
          <w:ilvl w:val="0"/>
          <w:numId w:val="3"/>
        </w:numPr>
        <w:rPr>
          <w:rFonts w:ascii="Calibri" w:hAnsi="Calibri" w:cs="Calibri"/>
        </w:rPr>
      </w:pPr>
      <w:r w:rsidRPr="00F535B7">
        <w:rPr>
          <w:rFonts w:ascii="Calibri" w:hAnsi="Calibri" w:cs="Calibri"/>
        </w:rPr>
        <w:t xml:space="preserve">Universities who are required to conduct research and scientific investigation pursuant to their objects and functions under </w:t>
      </w:r>
      <w:hyperlink r:id="rId15" w:anchor="partiii-chapi" w:history="1">
        <w:r w:rsidRPr="00F535B7">
          <w:rPr>
            <w:rStyle w:val="Hyperlink"/>
            <w:rFonts w:ascii="Calibri" w:hAnsi="Calibri" w:cs="Calibri"/>
          </w:rPr>
          <w:t>Section 12 and 13 of the Universities Act 1997</w:t>
        </w:r>
      </w:hyperlink>
      <w:r w:rsidRPr="00F535B7">
        <w:rPr>
          <w:rFonts w:ascii="Calibri" w:hAnsi="Calibri" w:cs="Calibri"/>
        </w:rPr>
        <w:t>.</w:t>
      </w:r>
    </w:p>
    <w:p w14:paraId="7B672A85" w14:textId="76CB16CA" w:rsidR="007C73BC" w:rsidRPr="00F535B7" w:rsidRDefault="007C73BC" w:rsidP="00977C07">
      <w:pPr>
        <w:pStyle w:val="ListParagraph"/>
        <w:numPr>
          <w:ilvl w:val="0"/>
          <w:numId w:val="3"/>
        </w:numPr>
        <w:rPr>
          <w:rFonts w:ascii="Calibri" w:hAnsi="Calibri" w:cs="Calibri"/>
        </w:rPr>
      </w:pPr>
      <w:r w:rsidRPr="00F535B7">
        <w:rPr>
          <w:rFonts w:ascii="Calibri" w:hAnsi="Calibri" w:cs="Calibri"/>
        </w:rPr>
        <w:t xml:space="preserve">Children’s Hospitals who are required to conduct research and scientific investigation pursuant to </w:t>
      </w:r>
      <w:hyperlink r:id="rId16" w:anchor="sec6" w:history="1">
        <w:r w:rsidR="00D43CE6" w:rsidRPr="00F535B7">
          <w:rPr>
            <w:rStyle w:val="Hyperlink"/>
            <w:rFonts w:ascii="Calibri" w:hAnsi="Calibri" w:cs="Calibri"/>
          </w:rPr>
          <w:t>Section 6</w:t>
        </w:r>
        <w:r w:rsidRPr="00F535B7">
          <w:rPr>
            <w:rStyle w:val="Hyperlink"/>
            <w:rFonts w:ascii="Calibri" w:hAnsi="Calibri" w:cs="Calibri"/>
          </w:rPr>
          <w:t xml:space="preserve"> </w:t>
        </w:r>
        <w:r w:rsidR="00D43CE6" w:rsidRPr="00F535B7">
          <w:rPr>
            <w:rStyle w:val="Hyperlink"/>
            <w:rFonts w:ascii="Calibri" w:hAnsi="Calibri" w:cs="Calibri"/>
          </w:rPr>
          <w:t xml:space="preserve">of the </w:t>
        </w:r>
        <w:r w:rsidRPr="00F535B7">
          <w:rPr>
            <w:rStyle w:val="Hyperlink"/>
            <w:rFonts w:ascii="Calibri" w:hAnsi="Calibri" w:cs="Calibri"/>
          </w:rPr>
          <w:t>Children's Health Act 2018</w:t>
        </w:r>
      </w:hyperlink>
      <w:r w:rsidRPr="00F535B7">
        <w:rPr>
          <w:rFonts w:ascii="Calibri" w:hAnsi="Calibri" w:cs="Calibri"/>
        </w:rPr>
        <w:t>.</w:t>
      </w:r>
    </w:p>
    <w:p w14:paraId="0A3F06C8" w14:textId="072B782D" w:rsidR="000853B0" w:rsidRPr="00F535B7" w:rsidRDefault="007C73BC" w:rsidP="007C73BC">
      <w:pPr>
        <w:rPr>
          <w:rFonts w:ascii="Calibri" w:hAnsi="Calibri" w:cs="Calibri"/>
        </w:rPr>
      </w:pPr>
      <w:r w:rsidRPr="00F535B7">
        <w:rPr>
          <w:rFonts w:ascii="Calibri" w:hAnsi="Calibri" w:cs="Calibri"/>
        </w:rPr>
        <w:t xml:space="preserve">Controllers relying upon this legal basis </w:t>
      </w:r>
      <w:r w:rsidR="00D43CE6" w:rsidRPr="00F535B7">
        <w:rPr>
          <w:rFonts w:ascii="Calibri" w:hAnsi="Calibri" w:cs="Calibri"/>
        </w:rPr>
        <w:t xml:space="preserve">must </w:t>
      </w:r>
      <w:r w:rsidRPr="00F535B7">
        <w:rPr>
          <w:rFonts w:ascii="Calibri" w:hAnsi="Calibri" w:cs="Calibri"/>
        </w:rPr>
        <w:t xml:space="preserve">ensure that the processing of the personal data ensures the </w:t>
      </w:r>
      <w:r w:rsidR="00B5507C" w:rsidRPr="00F535B7">
        <w:rPr>
          <w:rFonts w:ascii="Calibri" w:hAnsi="Calibri" w:cs="Calibri"/>
        </w:rPr>
        <w:t xml:space="preserve">data protection </w:t>
      </w:r>
      <w:r w:rsidRPr="00F535B7">
        <w:rPr>
          <w:rFonts w:ascii="Calibri" w:hAnsi="Calibri" w:cs="Calibri"/>
        </w:rPr>
        <w:t>principles of necessity, proportionality and minimi</w:t>
      </w:r>
      <w:r w:rsidR="00D43CE6" w:rsidRPr="00F535B7">
        <w:rPr>
          <w:rFonts w:ascii="Calibri" w:hAnsi="Calibri" w:cs="Calibri"/>
        </w:rPr>
        <w:t>s</w:t>
      </w:r>
      <w:r w:rsidRPr="00F535B7">
        <w:rPr>
          <w:rFonts w:ascii="Calibri" w:hAnsi="Calibri" w:cs="Calibri"/>
        </w:rPr>
        <w:t>ation.</w:t>
      </w:r>
    </w:p>
    <w:p w14:paraId="5F3FF6C7" w14:textId="51C9F854" w:rsidR="00D43CE6" w:rsidRPr="00F535B7" w:rsidRDefault="00D43CE6" w:rsidP="007C73BC">
      <w:pPr>
        <w:rPr>
          <w:rFonts w:ascii="Calibri" w:hAnsi="Calibri" w:cs="Calibri"/>
        </w:rPr>
      </w:pPr>
      <w:r w:rsidRPr="00F535B7">
        <w:rPr>
          <w:rFonts w:ascii="Calibri" w:hAnsi="Calibri" w:cs="Calibri"/>
        </w:rPr>
        <w:t xml:space="preserve">The above legal basis is not suitable in all instances. In particular, commercially funded research would not necessarily be in the “public interest” and may require an alternative legal basis. Commercial Sponsors are required to identify their legal basis for processing data when conducting research. </w:t>
      </w:r>
    </w:p>
    <w:p w14:paraId="33EB0C15" w14:textId="77777777" w:rsidR="000853B0" w:rsidRPr="00F535B7" w:rsidRDefault="006063C6" w:rsidP="006063C6">
      <w:pPr>
        <w:pStyle w:val="Heading2"/>
        <w:rPr>
          <w:rFonts w:ascii="Calibri" w:hAnsi="Calibri" w:cs="Calibri"/>
          <w:b/>
        </w:rPr>
      </w:pPr>
      <w:r w:rsidRPr="00F535B7">
        <w:rPr>
          <w:rFonts w:ascii="Calibri" w:hAnsi="Calibri" w:cs="Calibri"/>
          <w:b/>
        </w:rPr>
        <w:lastRenderedPageBreak/>
        <w:t>Health Research Regulations</w:t>
      </w:r>
    </w:p>
    <w:p w14:paraId="5B3B48A9" w14:textId="77777777" w:rsidR="00813148" w:rsidRPr="00F535B7" w:rsidRDefault="00813148" w:rsidP="006063C6">
      <w:pPr>
        <w:rPr>
          <w:rFonts w:ascii="Calibri" w:hAnsi="Calibri" w:cs="Calibri"/>
        </w:rPr>
      </w:pPr>
      <w:r w:rsidRPr="00F535B7">
        <w:rPr>
          <w:rFonts w:ascii="Calibri" w:hAnsi="Calibri" w:cs="Calibri"/>
        </w:rPr>
        <w:t>Under the Health Research Regulations any health research as defined in that legislation requires explicit consent as a suitable and specific safeguard.</w:t>
      </w:r>
    </w:p>
    <w:p w14:paraId="41752389" w14:textId="73A7EB95" w:rsidR="00813148" w:rsidRPr="00F535B7" w:rsidRDefault="00813148" w:rsidP="006063C6">
      <w:pPr>
        <w:rPr>
          <w:rFonts w:ascii="Calibri" w:hAnsi="Calibri" w:cs="Calibri"/>
        </w:rPr>
      </w:pPr>
      <w:r w:rsidRPr="00F535B7">
        <w:rPr>
          <w:rFonts w:ascii="Calibri" w:hAnsi="Calibri" w:cs="Calibri"/>
        </w:rPr>
        <w:t xml:space="preserve">This </w:t>
      </w:r>
      <w:r w:rsidR="006063C6" w:rsidRPr="00F535B7">
        <w:rPr>
          <w:rFonts w:ascii="Calibri" w:hAnsi="Calibri" w:cs="Calibri"/>
        </w:rPr>
        <w:t xml:space="preserve"> </w:t>
      </w:r>
      <w:r w:rsidRPr="00F535B7">
        <w:rPr>
          <w:rFonts w:ascii="Calibri" w:hAnsi="Calibri" w:cs="Calibri"/>
        </w:rPr>
        <w:t xml:space="preserve">requirement </w:t>
      </w:r>
      <w:r w:rsidR="006063C6" w:rsidRPr="00F535B7">
        <w:rPr>
          <w:rFonts w:ascii="Calibri" w:hAnsi="Calibri" w:cs="Calibri"/>
        </w:rPr>
        <w:t xml:space="preserve">is separate to </w:t>
      </w:r>
      <w:r w:rsidRPr="00F535B7">
        <w:rPr>
          <w:rFonts w:ascii="Calibri" w:hAnsi="Calibri" w:cs="Calibri"/>
        </w:rPr>
        <w:t xml:space="preserve">the requirements under the GDPR. </w:t>
      </w:r>
      <w:r w:rsidR="006063C6" w:rsidRPr="00F535B7">
        <w:rPr>
          <w:rFonts w:ascii="Calibri" w:hAnsi="Calibri" w:cs="Calibri"/>
        </w:rPr>
        <w:t xml:space="preserve"> That is to say, that </w:t>
      </w:r>
      <w:r w:rsidRPr="00F535B7">
        <w:rPr>
          <w:rFonts w:ascii="Calibri" w:hAnsi="Calibri" w:cs="Calibri"/>
        </w:rPr>
        <w:t xml:space="preserve">in addition to </w:t>
      </w:r>
      <w:r w:rsidR="006063C6" w:rsidRPr="00F535B7">
        <w:rPr>
          <w:rFonts w:ascii="Calibri" w:hAnsi="Calibri" w:cs="Calibri"/>
        </w:rPr>
        <w:t xml:space="preserve"> the above legal basis the parties will </w:t>
      </w:r>
      <w:r w:rsidRPr="00F535B7">
        <w:rPr>
          <w:rFonts w:ascii="Calibri" w:hAnsi="Calibri" w:cs="Calibri"/>
        </w:rPr>
        <w:t xml:space="preserve">also </w:t>
      </w:r>
      <w:r w:rsidR="006063C6" w:rsidRPr="00F535B7">
        <w:rPr>
          <w:rFonts w:ascii="Calibri" w:hAnsi="Calibri" w:cs="Calibri"/>
        </w:rPr>
        <w:t xml:space="preserve">require consent as a suitable and specific safeguard for </w:t>
      </w:r>
      <w:r w:rsidRPr="00F535B7">
        <w:rPr>
          <w:rFonts w:ascii="Calibri" w:hAnsi="Calibri" w:cs="Calibri"/>
        </w:rPr>
        <w:t xml:space="preserve">any </w:t>
      </w:r>
      <w:r w:rsidR="006063C6" w:rsidRPr="00F535B7">
        <w:rPr>
          <w:rFonts w:ascii="Calibri" w:hAnsi="Calibri" w:cs="Calibri"/>
        </w:rPr>
        <w:t xml:space="preserve">data processing </w:t>
      </w:r>
      <w:r w:rsidRPr="00F535B7">
        <w:rPr>
          <w:rFonts w:ascii="Calibri" w:hAnsi="Calibri" w:cs="Calibri"/>
        </w:rPr>
        <w:t xml:space="preserve"> for </w:t>
      </w:r>
      <w:r w:rsidR="006063C6" w:rsidRPr="00F535B7">
        <w:rPr>
          <w:rFonts w:ascii="Calibri" w:hAnsi="Calibri" w:cs="Calibri"/>
        </w:rPr>
        <w:t xml:space="preserve">health research. </w:t>
      </w:r>
    </w:p>
    <w:p w14:paraId="45E1220D" w14:textId="670B670A" w:rsidR="006063C6" w:rsidRPr="00F535B7" w:rsidRDefault="006063C6" w:rsidP="006063C6">
      <w:pPr>
        <w:rPr>
          <w:rFonts w:ascii="Calibri" w:hAnsi="Calibri" w:cs="Calibri"/>
        </w:rPr>
      </w:pPr>
      <w:r w:rsidRPr="00F535B7">
        <w:rPr>
          <w:rFonts w:ascii="Calibri" w:hAnsi="Calibri" w:cs="Calibri"/>
        </w:rPr>
        <w:t>In any event</w:t>
      </w:r>
      <w:r w:rsidR="00153D82" w:rsidRPr="00F535B7">
        <w:rPr>
          <w:rFonts w:ascii="Calibri" w:hAnsi="Calibri" w:cs="Calibri"/>
        </w:rPr>
        <w:t>,</w:t>
      </w:r>
      <w:r w:rsidRPr="00F535B7">
        <w:rPr>
          <w:rFonts w:ascii="Calibri" w:hAnsi="Calibri" w:cs="Calibri"/>
        </w:rPr>
        <w:t xml:space="preserve"> consent is needed for compliance with Clinical Trials Regulation, </w:t>
      </w:r>
      <w:r w:rsidR="00813148" w:rsidRPr="00F535B7">
        <w:rPr>
          <w:rFonts w:ascii="Calibri" w:hAnsi="Calibri" w:cs="Calibri"/>
        </w:rPr>
        <w:t xml:space="preserve">as an </w:t>
      </w:r>
      <w:r w:rsidRPr="00F535B7">
        <w:rPr>
          <w:rFonts w:ascii="Calibri" w:hAnsi="Calibri" w:cs="Calibri"/>
        </w:rPr>
        <w:t>ethical requirement</w:t>
      </w:r>
      <w:r w:rsidR="00813148" w:rsidRPr="00F535B7">
        <w:rPr>
          <w:rFonts w:ascii="Calibri" w:hAnsi="Calibri" w:cs="Calibri"/>
        </w:rPr>
        <w:t xml:space="preserve">, and to comply with </w:t>
      </w:r>
      <w:r w:rsidRPr="00F535B7">
        <w:rPr>
          <w:rFonts w:ascii="Calibri" w:hAnsi="Calibri" w:cs="Calibri"/>
        </w:rPr>
        <w:t xml:space="preserve">HSE Policies. </w:t>
      </w:r>
    </w:p>
    <w:p w14:paraId="5484EFA5" w14:textId="608C54C3" w:rsidR="00C350C3" w:rsidRPr="00C350C3" w:rsidRDefault="006063C6" w:rsidP="00C350C3">
      <w:pPr>
        <w:pStyle w:val="Heading2"/>
        <w:rPr>
          <w:rFonts w:ascii="Calibri" w:hAnsi="Calibri" w:cs="Calibri"/>
          <w:sz w:val="28"/>
        </w:rPr>
      </w:pPr>
      <w:r w:rsidRPr="00F535B7">
        <w:rPr>
          <w:rStyle w:val="Heading3Char"/>
          <w:rFonts w:ascii="Calibri" w:hAnsi="Calibri" w:cs="Calibri"/>
        </w:rPr>
        <w:t>Guidance on the Legal Basis for Data Processing in Regulated Studies for Universities and Public Hopsitals</w:t>
      </w:r>
      <w:r w:rsidR="00C350C3">
        <w:rPr>
          <w:rStyle w:val="Heading3Char"/>
          <w:rFonts w:ascii="Calibri" w:hAnsi="Calibri" w:cs="Calibri"/>
        </w:rPr>
        <w:br/>
      </w:r>
    </w:p>
    <w:p w14:paraId="46F01032" w14:textId="7816CA82" w:rsidR="0015309E" w:rsidRPr="00F535B7" w:rsidRDefault="00813148" w:rsidP="006063C6">
      <w:pPr>
        <w:rPr>
          <w:rFonts w:ascii="Calibri" w:hAnsi="Calibri" w:cs="Calibri"/>
        </w:rPr>
      </w:pPr>
      <w:r w:rsidRPr="00F535B7">
        <w:rPr>
          <w:rFonts w:ascii="Calibri" w:hAnsi="Calibri" w:cs="Calibri"/>
        </w:rPr>
        <w:t xml:space="preserve">If a study is a </w:t>
      </w:r>
      <w:r w:rsidR="006063C6" w:rsidRPr="00F535B7">
        <w:rPr>
          <w:rFonts w:ascii="Calibri" w:hAnsi="Calibri" w:cs="Calibri"/>
        </w:rPr>
        <w:t xml:space="preserve"> regulated stud</w:t>
      </w:r>
      <w:r w:rsidRPr="00F535B7">
        <w:rPr>
          <w:rFonts w:ascii="Calibri" w:hAnsi="Calibri" w:cs="Calibri"/>
        </w:rPr>
        <w:t xml:space="preserve">y, such as </w:t>
      </w:r>
      <w:r w:rsidR="00EA5B55" w:rsidRPr="00F535B7">
        <w:rPr>
          <w:rFonts w:ascii="Calibri" w:hAnsi="Calibri" w:cs="Calibri"/>
        </w:rPr>
        <w:t xml:space="preserve">those conducted </w:t>
      </w:r>
      <w:r w:rsidRPr="00F535B7">
        <w:rPr>
          <w:rFonts w:ascii="Calibri" w:hAnsi="Calibri" w:cs="Calibri"/>
        </w:rPr>
        <w:t xml:space="preserve">under the </w:t>
      </w:r>
      <w:r w:rsidR="006063C6" w:rsidRPr="00F535B7">
        <w:rPr>
          <w:rFonts w:ascii="Calibri" w:hAnsi="Calibri" w:cs="Calibri"/>
        </w:rPr>
        <w:t xml:space="preserve"> Clinical Trials Regulation </w:t>
      </w:r>
      <w:r w:rsidRPr="00F535B7">
        <w:rPr>
          <w:rFonts w:ascii="Calibri" w:hAnsi="Calibri" w:cs="Calibri"/>
        </w:rPr>
        <w:t xml:space="preserve">or </w:t>
      </w:r>
      <w:r w:rsidR="006063C6" w:rsidRPr="00F535B7">
        <w:rPr>
          <w:rFonts w:ascii="Calibri" w:hAnsi="Calibri" w:cs="Calibri"/>
        </w:rPr>
        <w:t xml:space="preserve"> the Medical Device Regulation</w:t>
      </w:r>
      <w:r w:rsidRPr="00F535B7">
        <w:rPr>
          <w:rFonts w:ascii="Calibri" w:hAnsi="Calibri" w:cs="Calibri"/>
        </w:rPr>
        <w:t>, a different legal basis may be appropriate.</w:t>
      </w:r>
      <w:r w:rsidR="006063C6" w:rsidRPr="00F535B7">
        <w:rPr>
          <w:rFonts w:ascii="Calibri" w:hAnsi="Calibri" w:cs="Calibri"/>
        </w:rPr>
        <w:t xml:space="preserve"> The HRDPN commonly see the following legal basis for such processing:</w:t>
      </w:r>
    </w:p>
    <w:tbl>
      <w:tblPr>
        <w:tblStyle w:val="TableGrid"/>
        <w:tblW w:w="0" w:type="auto"/>
        <w:tblLook w:val="04A0" w:firstRow="1" w:lastRow="0" w:firstColumn="1" w:lastColumn="0" w:noHBand="0" w:noVBand="1"/>
      </w:tblPr>
      <w:tblGrid>
        <w:gridCol w:w="9016"/>
      </w:tblGrid>
      <w:tr w:rsidR="00625E7A" w:rsidRPr="00F535B7" w14:paraId="552F3BA3" w14:textId="77777777" w:rsidTr="00625E7A">
        <w:tc>
          <w:tcPr>
            <w:tcW w:w="9016" w:type="dxa"/>
            <w:shd w:val="clear" w:color="auto" w:fill="C5E0B3" w:themeFill="accent6" w:themeFillTint="66"/>
          </w:tcPr>
          <w:p w14:paraId="02AA2A8E" w14:textId="77777777" w:rsidR="00625E7A" w:rsidRPr="00F535B7" w:rsidRDefault="00625E7A" w:rsidP="00625E7A">
            <w:pPr>
              <w:rPr>
                <w:rFonts w:ascii="Calibri" w:hAnsi="Calibri" w:cs="Calibri"/>
              </w:rPr>
            </w:pPr>
            <w:r w:rsidRPr="00F535B7">
              <w:rPr>
                <w:rFonts w:ascii="Calibri" w:hAnsi="Calibri" w:cs="Calibri"/>
                <w:b/>
              </w:rPr>
              <w:t>Article 6(1)(c) of the GDPR</w:t>
            </w:r>
            <w:r w:rsidRPr="00F535B7">
              <w:rPr>
                <w:rFonts w:ascii="Calibri" w:hAnsi="Calibri" w:cs="Calibri"/>
              </w:rPr>
              <w:t xml:space="preserve"> processing is necessary for compliance with a legal obligation to which the controller is subject;</w:t>
            </w:r>
          </w:p>
        </w:tc>
      </w:tr>
    </w:tbl>
    <w:p w14:paraId="100FC2F2" w14:textId="77777777" w:rsidR="00EA5B55" w:rsidRPr="00F535B7" w:rsidRDefault="00EA5B55" w:rsidP="006063C6">
      <w:pPr>
        <w:rPr>
          <w:rFonts w:ascii="Calibri" w:hAnsi="Calibri" w:cs="Calibri"/>
        </w:rPr>
      </w:pPr>
    </w:p>
    <w:p w14:paraId="40C6715B" w14:textId="59D7DD1B" w:rsidR="00625E7A" w:rsidRPr="00F535B7" w:rsidRDefault="00D43CE6" w:rsidP="006063C6">
      <w:pPr>
        <w:rPr>
          <w:rFonts w:ascii="Calibri" w:hAnsi="Calibri" w:cs="Calibri"/>
        </w:rPr>
      </w:pPr>
      <w:r w:rsidRPr="00F535B7">
        <w:rPr>
          <w:rFonts w:ascii="Calibri" w:hAnsi="Calibri" w:cs="Calibri"/>
        </w:rPr>
        <w:t>The H</w:t>
      </w:r>
      <w:r w:rsidR="00F73231" w:rsidRPr="00F535B7">
        <w:rPr>
          <w:rFonts w:ascii="Calibri" w:hAnsi="Calibri" w:cs="Calibri"/>
        </w:rPr>
        <w:t>RDPN</w:t>
      </w:r>
      <w:r w:rsidRPr="00F535B7">
        <w:rPr>
          <w:rFonts w:ascii="Calibri" w:hAnsi="Calibri" w:cs="Calibri"/>
        </w:rPr>
        <w:t xml:space="preserve"> commonly see the following condition for such processing</w:t>
      </w:r>
      <w:r w:rsidR="00EA5B55" w:rsidRPr="00F535B7">
        <w:rPr>
          <w:rFonts w:ascii="Calibri" w:hAnsi="Calibri" w:cs="Calibri"/>
        </w:rPr>
        <w:t>:</w:t>
      </w:r>
    </w:p>
    <w:tbl>
      <w:tblPr>
        <w:tblStyle w:val="TableGrid"/>
        <w:tblW w:w="0" w:type="auto"/>
        <w:tblLook w:val="04A0" w:firstRow="1" w:lastRow="0" w:firstColumn="1" w:lastColumn="0" w:noHBand="0" w:noVBand="1"/>
      </w:tblPr>
      <w:tblGrid>
        <w:gridCol w:w="9016"/>
      </w:tblGrid>
      <w:tr w:rsidR="00625E7A" w:rsidRPr="00F535B7" w14:paraId="10BC73D9" w14:textId="77777777" w:rsidTr="00977C07">
        <w:tc>
          <w:tcPr>
            <w:tcW w:w="9016" w:type="dxa"/>
            <w:shd w:val="clear" w:color="auto" w:fill="C5E0B3" w:themeFill="accent6" w:themeFillTint="66"/>
          </w:tcPr>
          <w:p w14:paraId="17F79930" w14:textId="77777777" w:rsidR="00625E7A" w:rsidRPr="00F535B7" w:rsidRDefault="00625E7A" w:rsidP="006063C6">
            <w:pPr>
              <w:rPr>
                <w:rFonts w:ascii="Calibri" w:hAnsi="Calibri" w:cs="Calibri"/>
              </w:rPr>
            </w:pPr>
            <w:r w:rsidRPr="00F535B7">
              <w:rPr>
                <w:rFonts w:ascii="Calibri" w:hAnsi="Calibri" w:cs="Calibri"/>
                <w:b/>
              </w:rPr>
              <w:t>Article 9(2)(i) of the GDPR</w:t>
            </w:r>
            <w:r w:rsidRPr="00F535B7">
              <w:rPr>
                <w:rFonts w:ascii="Calibri" w:hAnsi="Calibri" w:cs="Calibri"/>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 which provides for suitable and specific measures to safeguard the rights and freedoms of the data subject, in particular professional secrecy.</w:t>
            </w:r>
          </w:p>
        </w:tc>
      </w:tr>
    </w:tbl>
    <w:p w14:paraId="4E4A4396" w14:textId="094F194B" w:rsidR="00625E7A" w:rsidRPr="00F535B7" w:rsidRDefault="00625E7A" w:rsidP="00977C07">
      <w:pPr>
        <w:spacing w:before="240"/>
        <w:rPr>
          <w:rFonts w:ascii="Calibri" w:hAnsi="Calibri" w:cs="Calibri"/>
        </w:rPr>
      </w:pPr>
      <w:r w:rsidRPr="00F535B7">
        <w:rPr>
          <w:rFonts w:ascii="Calibri" w:hAnsi="Calibri" w:cs="Calibri"/>
        </w:rPr>
        <w:t>This legal basis would be used in addition to the legal basis</w:t>
      </w:r>
      <w:r w:rsidR="00C66059" w:rsidRPr="00F535B7">
        <w:rPr>
          <w:rFonts w:ascii="Calibri" w:hAnsi="Calibri" w:cs="Calibri"/>
        </w:rPr>
        <w:t xml:space="preserve"> </w:t>
      </w:r>
      <w:r w:rsidRPr="00F535B7">
        <w:rPr>
          <w:rFonts w:ascii="Calibri" w:hAnsi="Calibri" w:cs="Calibri"/>
        </w:rPr>
        <w:t>for the research study. For further information in relation to data processing for clinical trials</w:t>
      </w:r>
      <w:r w:rsidR="00051CF2" w:rsidRPr="00F535B7">
        <w:rPr>
          <w:rFonts w:ascii="Calibri" w:hAnsi="Calibri" w:cs="Calibri"/>
        </w:rPr>
        <w:t>,</w:t>
      </w:r>
      <w:r w:rsidRPr="00F535B7">
        <w:rPr>
          <w:rFonts w:ascii="Calibri" w:hAnsi="Calibri" w:cs="Calibri"/>
        </w:rPr>
        <w:t xml:space="preserve"> please see the</w:t>
      </w:r>
      <w:r w:rsidR="005020CC">
        <w:rPr>
          <w:rFonts w:ascii="Calibri" w:hAnsi="Calibri" w:cs="Calibri"/>
        </w:rPr>
        <w:t xml:space="preserve"> European Data Protection Board</w:t>
      </w:r>
      <w:r w:rsidRPr="00F535B7">
        <w:rPr>
          <w:rFonts w:ascii="Calibri" w:hAnsi="Calibri" w:cs="Calibri"/>
        </w:rPr>
        <w:t xml:space="preserve"> </w:t>
      </w:r>
      <w:hyperlink r:id="rId17" w:history="1">
        <w:r w:rsidRPr="00F535B7">
          <w:rPr>
            <w:rStyle w:val="Hyperlink"/>
            <w:rFonts w:ascii="Calibri" w:hAnsi="Calibri" w:cs="Calibri"/>
          </w:rPr>
          <w:t>EDPB Opinion 3/2019</w:t>
        </w:r>
      </w:hyperlink>
      <w:r w:rsidRPr="00F535B7">
        <w:rPr>
          <w:rFonts w:ascii="Calibri" w:hAnsi="Calibri" w:cs="Calibri"/>
        </w:rPr>
        <w:t xml:space="preserve"> concerning the Questions and Answers on the interplay between the Clinical Trials Regulation (CTR) and the General Data Protection regulation (GDPR). </w:t>
      </w:r>
    </w:p>
    <w:p w14:paraId="120FACD5" w14:textId="126B1D97" w:rsidR="00625E7A" w:rsidRPr="00F535B7" w:rsidRDefault="00625E7A" w:rsidP="00625E7A">
      <w:pPr>
        <w:pStyle w:val="Heading2"/>
        <w:rPr>
          <w:rFonts w:ascii="Calibri" w:hAnsi="Calibri" w:cs="Calibri"/>
        </w:rPr>
      </w:pPr>
      <w:r w:rsidRPr="00F535B7">
        <w:rPr>
          <w:rFonts w:ascii="Calibri" w:hAnsi="Calibri" w:cs="Calibri"/>
        </w:rPr>
        <w:t>Other Legal Basis</w:t>
      </w:r>
      <w:r w:rsidR="00EF7A71">
        <w:rPr>
          <w:rFonts w:ascii="Calibri" w:hAnsi="Calibri" w:cs="Calibri"/>
        </w:rPr>
        <w:br/>
      </w:r>
    </w:p>
    <w:p w14:paraId="7E662AF6" w14:textId="77777777" w:rsidR="00625E7A" w:rsidRPr="00F535B7" w:rsidRDefault="00625E7A" w:rsidP="00977C07">
      <w:pPr>
        <w:numPr>
          <w:ilvl w:val="0"/>
          <w:numId w:val="4"/>
        </w:numPr>
        <w:tabs>
          <w:tab w:val="clear" w:pos="720"/>
          <w:tab w:val="num" w:pos="360"/>
        </w:tabs>
        <w:ind w:left="360"/>
        <w:rPr>
          <w:rFonts w:ascii="Calibri" w:hAnsi="Calibri" w:cs="Calibri"/>
          <w:lang w:val="en-IE"/>
        </w:rPr>
      </w:pPr>
      <w:r w:rsidRPr="00F535B7">
        <w:rPr>
          <w:rFonts w:ascii="Calibri" w:hAnsi="Calibri" w:cs="Calibri"/>
          <w:b/>
          <w:bCs/>
          <w:lang w:val="en-US"/>
        </w:rPr>
        <w:t xml:space="preserve">Article 6(1)(a) of the GDPR </w:t>
      </w:r>
      <w:r w:rsidRPr="00F535B7">
        <w:rPr>
          <w:rFonts w:ascii="Calibri" w:hAnsi="Calibri" w:cs="Calibri"/>
          <w:lang w:val="en-IE"/>
        </w:rPr>
        <w:t>the data subject has given consent to the processing of his or her personal data for one or more specific purposes; </w:t>
      </w:r>
    </w:p>
    <w:p w14:paraId="308B196D" w14:textId="612240C8" w:rsidR="00625E7A" w:rsidRPr="00F535B7" w:rsidRDefault="00625E7A" w:rsidP="00977C07">
      <w:pPr>
        <w:ind w:left="360"/>
        <w:rPr>
          <w:rFonts w:ascii="Calibri" w:hAnsi="Calibri" w:cs="Calibri"/>
          <w:lang w:val="en-IE"/>
        </w:rPr>
      </w:pPr>
      <w:r w:rsidRPr="00F535B7">
        <w:rPr>
          <w:rFonts w:ascii="Calibri" w:hAnsi="Calibri" w:cs="Calibri"/>
          <w:b/>
          <w:bCs/>
          <w:lang w:val="en-US"/>
        </w:rPr>
        <w:t xml:space="preserve">this consent must be fully </w:t>
      </w:r>
      <w:r w:rsidR="00D43CE6" w:rsidRPr="00F535B7">
        <w:rPr>
          <w:rFonts w:ascii="Calibri" w:hAnsi="Calibri" w:cs="Calibri"/>
          <w:b/>
          <w:bCs/>
          <w:lang w:val="en-US"/>
        </w:rPr>
        <w:t>revocable</w:t>
      </w:r>
      <w:r w:rsidRPr="00F535B7">
        <w:rPr>
          <w:rFonts w:ascii="Calibri" w:hAnsi="Calibri" w:cs="Calibri"/>
          <w:b/>
          <w:bCs/>
          <w:lang w:val="en-US"/>
        </w:rPr>
        <w:t>. Researchers will not be able to process the data once consent has been revoked.</w:t>
      </w:r>
      <w:r w:rsidRPr="00F535B7">
        <w:rPr>
          <w:rFonts w:ascii="Calibri" w:hAnsi="Calibri" w:cs="Calibri"/>
          <w:lang w:val="en-IE"/>
        </w:rPr>
        <w:t> </w:t>
      </w:r>
      <w:r w:rsidR="004313BA" w:rsidRPr="00F535B7">
        <w:rPr>
          <w:rFonts w:ascii="Calibri" w:hAnsi="Calibri" w:cs="Calibri"/>
          <w:lang w:val="en-IE"/>
        </w:rPr>
        <w:t xml:space="preserve"> This is commonly used if there are any minors engaged in research as their parent or guardian must consent to them taking part if they are under the age of 18. </w:t>
      </w:r>
    </w:p>
    <w:p w14:paraId="29E74575" w14:textId="181593C5" w:rsidR="003F2D61" w:rsidRPr="00F535B7" w:rsidRDefault="00625E7A" w:rsidP="00037071">
      <w:pPr>
        <w:numPr>
          <w:ilvl w:val="0"/>
          <w:numId w:val="6"/>
        </w:numPr>
        <w:ind w:left="360"/>
        <w:rPr>
          <w:rFonts w:ascii="Calibri" w:hAnsi="Calibri" w:cs="Calibri"/>
          <w:lang w:val="en-IE"/>
        </w:rPr>
      </w:pPr>
      <w:r w:rsidRPr="00F535B7">
        <w:rPr>
          <w:rFonts w:ascii="Calibri" w:hAnsi="Calibri" w:cs="Calibri"/>
          <w:b/>
          <w:bCs/>
          <w:lang w:val="en-US"/>
        </w:rPr>
        <w:t xml:space="preserve">Article 6(1)(b) of the GDPR </w:t>
      </w:r>
      <w:r w:rsidRPr="00F535B7">
        <w:rPr>
          <w:rFonts w:ascii="Calibri" w:hAnsi="Calibri" w:cs="Calibri"/>
          <w:lang w:val="en-IE"/>
        </w:rPr>
        <w:t>processing is necessary for the performance of a contract to which the data subject is party or in order to take steps at the request of the data subject prior to entering into a contract</w:t>
      </w:r>
      <w:r w:rsidR="003F2D61" w:rsidRPr="00F535B7">
        <w:rPr>
          <w:rFonts w:ascii="Calibri" w:hAnsi="Calibri" w:cs="Calibri"/>
          <w:lang w:val="en-IE"/>
        </w:rPr>
        <w:t>;</w:t>
      </w:r>
    </w:p>
    <w:p w14:paraId="3EC21558" w14:textId="4147182F" w:rsidR="00625E7A" w:rsidRPr="00F535B7" w:rsidRDefault="003F2D61" w:rsidP="003F2D61">
      <w:pPr>
        <w:ind w:left="360"/>
        <w:rPr>
          <w:rFonts w:ascii="Calibri" w:hAnsi="Calibri" w:cs="Calibri"/>
          <w:lang w:val="en-IE"/>
        </w:rPr>
      </w:pPr>
      <w:r w:rsidRPr="00F535B7">
        <w:rPr>
          <w:rFonts w:ascii="Calibri" w:hAnsi="Calibri" w:cs="Calibri"/>
          <w:lang w:val="en-US"/>
        </w:rPr>
        <w:t>t</w:t>
      </w:r>
      <w:r w:rsidR="00625E7A" w:rsidRPr="00F535B7">
        <w:rPr>
          <w:rFonts w:ascii="Calibri" w:hAnsi="Calibri" w:cs="Calibri"/>
          <w:lang w:val="en-US"/>
        </w:rPr>
        <w:t>ends not to be relevant</w:t>
      </w:r>
      <w:r w:rsidR="00625E7A" w:rsidRPr="00F535B7">
        <w:rPr>
          <w:rFonts w:ascii="Calibri" w:hAnsi="Calibri" w:cs="Calibri"/>
          <w:lang w:val="en-IE"/>
        </w:rPr>
        <w:t> </w:t>
      </w:r>
    </w:p>
    <w:p w14:paraId="36B9A2B7" w14:textId="77777777" w:rsidR="00625E7A" w:rsidRPr="00F535B7" w:rsidRDefault="00625E7A" w:rsidP="00977C07">
      <w:pPr>
        <w:numPr>
          <w:ilvl w:val="0"/>
          <w:numId w:val="8"/>
        </w:numPr>
        <w:ind w:left="360"/>
        <w:rPr>
          <w:rFonts w:ascii="Calibri" w:hAnsi="Calibri" w:cs="Calibri"/>
          <w:lang w:val="en-IE"/>
        </w:rPr>
      </w:pPr>
      <w:r w:rsidRPr="00F535B7">
        <w:rPr>
          <w:rFonts w:ascii="Calibri" w:hAnsi="Calibri" w:cs="Calibri"/>
          <w:b/>
          <w:bCs/>
          <w:lang w:val="en-US"/>
        </w:rPr>
        <w:t xml:space="preserve">Article 6(1)(c) of the GDPR </w:t>
      </w:r>
      <w:r w:rsidRPr="00F535B7">
        <w:rPr>
          <w:rFonts w:ascii="Calibri" w:hAnsi="Calibri" w:cs="Calibri"/>
          <w:lang w:val="en-IE"/>
        </w:rPr>
        <w:t>processing is necessary for compliance with a legal obligation to which the controller is subject; </w:t>
      </w:r>
    </w:p>
    <w:p w14:paraId="0AA426D8" w14:textId="4613B6E7" w:rsidR="00625E7A" w:rsidRPr="00F535B7" w:rsidRDefault="005C2B51" w:rsidP="00977C07">
      <w:pPr>
        <w:ind w:left="360"/>
        <w:rPr>
          <w:rFonts w:ascii="Calibri" w:hAnsi="Calibri" w:cs="Calibri"/>
          <w:lang w:val="en-IE"/>
        </w:rPr>
      </w:pPr>
      <w:r w:rsidRPr="00F535B7">
        <w:rPr>
          <w:rFonts w:ascii="Calibri" w:hAnsi="Calibri" w:cs="Calibri"/>
          <w:i/>
          <w:iCs/>
          <w:lang w:val="en-US"/>
        </w:rPr>
        <w:lastRenderedPageBreak/>
        <w:t>t</w:t>
      </w:r>
      <w:r w:rsidR="00625E7A" w:rsidRPr="00F535B7">
        <w:rPr>
          <w:rFonts w:ascii="Calibri" w:hAnsi="Calibri" w:cs="Calibri"/>
          <w:i/>
          <w:iCs/>
          <w:lang w:val="en-US"/>
        </w:rPr>
        <w:t>his legal basis might be relevant in a clinical trial where a researcher has legal obligations for reporting or regulatory requirements which require them to process data. Tend</w:t>
      </w:r>
      <w:r w:rsidR="00006FD9" w:rsidRPr="00F535B7">
        <w:rPr>
          <w:rFonts w:ascii="Calibri" w:hAnsi="Calibri" w:cs="Calibri"/>
          <w:i/>
          <w:iCs/>
          <w:lang w:val="en-US"/>
        </w:rPr>
        <w:t>s</w:t>
      </w:r>
      <w:r w:rsidR="00625E7A" w:rsidRPr="00F535B7">
        <w:rPr>
          <w:rFonts w:ascii="Calibri" w:hAnsi="Calibri" w:cs="Calibri"/>
          <w:i/>
          <w:iCs/>
          <w:lang w:val="en-US"/>
        </w:rPr>
        <w:t xml:space="preserve"> to be used in conjunction with another legal basis. </w:t>
      </w:r>
      <w:r w:rsidR="00625E7A" w:rsidRPr="00F535B7">
        <w:rPr>
          <w:rFonts w:ascii="Calibri" w:hAnsi="Calibri" w:cs="Calibri"/>
          <w:lang w:val="en-IE"/>
        </w:rPr>
        <w:t> </w:t>
      </w:r>
    </w:p>
    <w:p w14:paraId="5672D035" w14:textId="77777777" w:rsidR="00625E7A" w:rsidRPr="00F535B7" w:rsidRDefault="00625E7A" w:rsidP="00977C07">
      <w:pPr>
        <w:numPr>
          <w:ilvl w:val="0"/>
          <w:numId w:val="10"/>
        </w:numPr>
        <w:ind w:left="360"/>
        <w:rPr>
          <w:rFonts w:ascii="Calibri" w:hAnsi="Calibri" w:cs="Calibri"/>
          <w:lang w:val="en-IE"/>
        </w:rPr>
      </w:pPr>
      <w:r w:rsidRPr="00F535B7">
        <w:rPr>
          <w:rFonts w:ascii="Calibri" w:hAnsi="Calibri" w:cs="Calibri"/>
          <w:b/>
          <w:bCs/>
          <w:lang w:val="en-US"/>
        </w:rPr>
        <w:t xml:space="preserve">Article 6(1)(d) of the GDPR </w:t>
      </w:r>
      <w:r w:rsidRPr="00F535B7">
        <w:rPr>
          <w:rFonts w:ascii="Calibri" w:hAnsi="Calibri" w:cs="Calibri"/>
          <w:lang w:val="en-IE"/>
        </w:rPr>
        <w:t>processing is necessary in order to protect the vital interests of the data subject or of another natural person; </w:t>
      </w:r>
    </w:p>
    <w:p w14:paraId="0DAA73BF" w14:textId="65C16FF0" w:rsidR="00625E7A" w:rsidRPr="00F535B7" w:rsidRDefault="00006FD9" w:rsidP="00977C07">
      <w:pPr>
        <w:ind w:left="360"/>
        <w:rPr>
          <w:rFonts w:ascii="Calibri" w:hAnsi="Calibri" w:cs="Calibri"/>
          <w:lang w:val="en-IE"/>
        </w:rPr>
      </w:pPr>
      <w:r w:rsidRPr="00F535B7">
        <w:rPr>
          <w:rFonts w:ascii="Calibri" w:hAnsi="Calibri" w:cs="Calibri"/>
          <w:lang w:val="en-US"/>
        </w:rPr>
        <w:t>t</w:t>
      </w:r>
      <w:r w:rsidR="00625E7A" w:rsidRPr="00F535B7">
        <w:rPr>
          <w:rFonts w:ascii="Calibri" w:hAnsi="Calibri" w:cs="Calibri"/>
          <w:lang w:val="en-US"/>
        </w:rPr>
        <w:t>ends not to be relevant</w:t>
      </w:r>
      <w:r w:rsidR="00625E7A" w:rsidRPr="00F535B7">
        <w:rPr>
          <w:rFonts w:ascii="Calibri" w:hAnsi="Calibri" w:cs="Calibri"/>
          <w:lang w:val="en-IE"/>
        </w:rPr>
        <w:t> </w:t>
      </w:r>
    </w:p>
    <w:p w14:paraId="5F272ED7" w14:textId="77777777" w:rsidR="00625E7A" w:rsidRPr="00F535B7" w:rsidRDefault="00625E7A" w:rsidP="00977C07">
      <w:pPr>
        <w:numPr>
          <w:ilvl w:val="0"/>
          <w:numId w:val="12"/>
        </w:numPr>
        <w:ind w:left="360"/>
        <w:rPr>
          <w:rFonts w:ascii="Calibri" w:hAnsi="Calibri" w:cs="Calibri"/>
          <w:lang w:val="en-IE"/>
        </w:rPr>
      </w:pPr>
      <w:r w:rsidRPr="00F535B7">
        <w:rPr>
          <w:rFonts w:ascii="Calibri" w:hAnsi="Calibri" w:cs="Calibri"/>
          <w:b/>
          <w:bCs/>
          <w:lang w:val="en-US"/>
        </w:rPr>
        <w:t xml:space="preserve">Article 6(1)(e) of the GDPR </w:t>
      </w:r>
      <w:r w:rsidRPr="00F535B7">
        <w:rPr>
          <w:rFonts w:ascii="Calibri" w:hAnsi="Calibri" w:cs="Calibri"/>
          <w:lang w:val="en-IE"/>
        </w:rPr>
        <w:t>processing is necessary for the performance of a task carried out in the public interest or in the exercise of official authority vested in the controller; </w:t>
      </w:r>
    </w:p>
    <w:p w14:paraId="7D3CE0BE" w14:textId="77777777" w:rsidR="00625E7A" w:rsidRPr="00F535B7" w:rsidRDefault="00625E7A" w:rsidP="00977C07">
      <w:pPr>
        <w:ind w:left="360"/>
        <w:rPr>
          <w:rFonts w:ascii="Calibri" w:hAnsi="Calibri" w:cs="Calibri"/>
          <w:lang w:val="en-IE"/>
        </w:rPr>
      </w:pPr>
      <w:r w:rsidRPr="00F535B7">
        <w:rPr>
          <w:rFonts w:ascii="Calibri" w:hAnsi="Calibri" w:cs="Calibri"/>
          <w:i/>
          <w:iCs/>
          <w:lang w:val="en-US"/>
        </w:rPr>
        <w:t>most commonly seen legal basis in University and Hospital led health research</w:t>
      </w:r>
      <w:r w:rsidRPr="00F535B7">
        <w:rPr>
          <w:rFonts w:ascii="Calibri" w:hAnsi="Calibri" w:cs="Calibri"/>
          <w:lang w:val="en-IE"/>
        </w:rPr>
        <w:t> </w:t>
      </w:r>
    </w:p>
    <w:p w14:paraId="2386D5C8" w14:textId="5B4B5897" w:rsidR="00625E7A" w:rsidRPr="00F535B7" w:rsidRDefault="00625E7A" w:rsidP="00977C07">
      <w:pPr>
        <w:numPr>
          <w:ilvl w:val="0"/>
          <w:numId w:val="14"/>
        </w:numPr>
        <w:ind w:left="360"/>
        <w:rPr>
          <w:rFonts w:ascii="Calibri" w:hAnsi="Calibri" w:cs="Calibri"/>
          <w:lang w:val="en-IE"/>
        </w:rPr>
      </w:pPr>
      <w:r w:rsidRPr="00F535B7">
        <w:rPr>
          <w:rFonts w:ascii="Calibri" w:hAnsi="Calibri" w:cs="Calibri"/>
          <w:b/>
          <w:bCs/>
          <w:lang w:val="en-US"/>
        </w:rPr>
        <w:t xml:space="preserve">Article 6(1)(f) of the GDPR </w:t>
      </w:r>
      <w:r w:rsidRPr="00F535B7">
        <w:rPr>
          <w:rFonts w:ascii="Calibri" w:hAnsi="Calibri" w:cs="Calibri"/>
          <w:lang w:val="en-IE"/>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00642672" w:rsidRPr="00F535B7">
        <w:rPr>
          <w:rFonts w:ascii="Calibri" w:hAnsi="Calibri" w:cs="Calibri"/>
          <w:lang w:val="en-IE"/>
        </w:rPr>
        <w:t>;</w:t>
      </w:r>
    </w:p>
    <w:p w14:paraId="06C41DC5" w14:textId="30F38C16" w:rsidR="00625E7A" w:rsidRPr="00F535B7" w:rsidRDefault="00625E7A" w:rsidP="00977C07">
      <w:pPr>
        <w:ind w:left="360"/>
        <w:rPr>
          <w:rFonts w:ascii="Calibri" w:hAnsi="Calibri" w:cs="Calibri"/>
          <w:lang w:val="en-IE"/>
        </w:rPr>
      </w:pPr>
      <w:r w:rsidRPr="00F535B7">
        <w:rPr>
          <w:rFonts w:ascii="Calibri" w:hAnsi="Calibri" w:cs="Calibri"/>
          <w:i/>
          <w:iCs/>
          <w:lang w:val="en-US"/>
        </w:rPr>
        <w:t>not generally available to public bodies as a legal basis and requires the preparation of a legitimate interest assessment</w:t>
      </w:r>
      <w:r w:rsidR="00642672" w:rsidRPr="00F535B7">
        <w:rPr>
          <w:rFonts w:ascii="Calibri" w:hAnsi="Calibri" w:cs="Calibri"/>
          <w:lang w:val="en-IE"/>
        </w:rPr>
        <w:t>.</w:t>
      </w:r>
    </w:p>
    <w:p w14:paraId="2CB6C651" w14:textId="2F5EE841" w:rsidR="00625E7A" w:rsidRPr="00F535B7" w:rsidRDefault="00625E7A" w:rsidP="00F535B7">
      <w:pPr>
        <w:jc w:val="left"/>
        <w:rPr>
          <w:rFonts w:ascii="Calibri" w:hAnsi="Calibri" w:cs="Calibri"/>
          <w:lang w:val="en-IE"/>
        </w:rPr>
      </w:pPr>
      <w:r w:rsidRPr="00F535B7">
        <w:rPr>
          <w:rFonts w:ascii="Calibri" w:hAnsi="Calibri" w:cs="Calibri"/>
          <w:lang w:val="en-US"/>
        </w:rPr>
        <w:t xml:space="preserve">We hope the above is helpful, however please note that this is high level guidance and </w:t>
      </w:r>
      <w:r w:rsidR="00642672" w:rsidRPr="00F535B7">
        <w:rPr>
          <w:rFonts w:ascii="Calibri" w:hAnsi="Calibri" w:cs="Calibri"/>
          <w:lang w:val="en-US"/>
        </w:rPr>
        <w:t xml:space="preserve">if </w:t>
      </w:r>
      <w:r w:rsidRPr="00F535B7">
        <w:rPr>
          <w:rFonts w:ascii="Calibri" w:hAnsi="Calibri" w:cs="Calibri"/>
          <w:lang w:val="en-US"/>
        </w:rPr>
        <w:t xml:space="preserve">you have specific questions you should refer </w:t>
      </w:r>
      <w:r w:rsidR="00F535B7" w:rsidRPr="00F535B7">
        <w:rPr>
          <w:rFonts w:ascii="Calibri" w:hAnsi="Calibri" w:cs="Calibri"/>
          <w:lang w:val="en-US"/>
        </w:rPr>
        <w:t>them</w:t>
      </w:r>
      <w:r w:rsidRPr="00F535B7">
        <w:rPr>
          <w:rFonts w:ascii="Calibri" w:hAnsi="Calibri" w:cs="Calibri"/>
          <w:lang w:val="en-US"/>
        </w:rPr>
        <w:t xml:space="preserve"> to </w:t>
      </w:r>
      <w:r w:rsidR="00894B0E" w:rsidRPr="00F535B7">
        <w:rPr>
          <w:rFonts w:ascii="Calibri" w:hAnsi="Calibri" w:cs="Calibri"/>
          <w:lang w:val="en-US"/>
        </w:rPr>
        <w:t>the University’s</w:t>
      </w:r>
      <w:r w:rsidRPr="00F535B7">
        <w:rPr>
          <w:rFonts w:ascii="Calibri" w:hAnsi="Calibri" w:cs="Calibri"/>
          <w:lang w:val="en-US"/>
        </w:rPr>
        <w:t xml:space="preserve"> </w:t>
      </w:r>
      <w:r w:rsidR="00894B0E" w:rsidRPr="00F535B7">
        <w:rPr>
          <w:rFonts w:ascii="Calibri" w:hAnsi="Calibri" w:cs="Calibri"/>
          <w:lang w:val="en-US"/>
        </w:rPr>
        <w:t>D</w:t>
      </w:r>
      <w:r w:rsidRPr="00F535B7">
        <w:rPr>
          <w:rFonts w:ascii="Calibri" w:hAnsi="Calibri" w:cs="Calibri"/>
          <w:lang w:val="en-US"/>
        </w:rPr>
        <w:t xml:space="preserve">ata </w:t>
      </w:r>
      <w:r w:rsidR="00894B0E" w:rsidRPr="00F535B7">
        <w:rPr>
          <w:rFonts w:ascii="Calibri" w:hAnsi="Calibri" w:cs="Calibri"/>
          <w:lang w:val="en-US"/>
        </w:rPr>
        <w:t>P</w:t>
      </w:r>
      <w:r w:rsidRPr="00F535B7">
        <w:rPr>
          <w:rFonts w:ascii="Calibri" w:hAnsi="Calibri" w:cs="Calibri"/>
          <w:lang w:val="en-US"/>
        </w:rPr>
        <w:t xml:space="preserve">rotection </w:t>
      </w:r>
      <w:r w:rsidR="00894B0E" w:rsidRPr="00F535B7">
        <w:rPr>
          <w:rFonts w:ascii="Calibri" w:hAnsi="Calibri" w:cs="Calibri"/>
          <w:lang w:val="en-US"/>
        </w:rPr>
        <w:t>O</w:t>
      </w:r>
      <w:r w:rsidRPr="00F535B7">
        <w:rPr>
          <w:rFonts w:ascii="Calibri" w:hAnsi="Calibri" w:cs="Calibri"/>
          <w:lang w:val="en-US"/>
        </w:rPr>
        <w:t>fficer</w:t>
      </w:r>
      <w:r w:rsidR="007E130B" w:rsidRPr="00F535B7">
        <w:rPr>
          <w:rFonts w:ascii="Calibri" w:hAnsi="Calibri" w:cs="Calibri"/>
          <w:lang w:val="en-US"/>
        </w:rPr>
        <w:t xml:space="preserve"> at dataprotection@mu.ie </w:t>
      </w:r>
      <w:r w:rsidRPr="00F535B7">
        <w:rPr>
          <w:rFonts w:ascii="Calibri" w:hAnsi="Calibri" w:cs="Calibri"/>
          <w:lang w:val="en-US"/>
        </w:rPr>
        <w:t>. </w:t>
      </w:r>
      <w:r w:rsidRPr="00F535B7">
        <w:rPr>
          <w:rFonts w:ascii="Calibri" w:hAnsi="Calibri" w:cs="Calibri"/>
          <w:lang w:val="en-IE"/>
        </w:rPr>
        <w:t> </w:t>
      </w:r>
    </w:p>
    <w:p w14:paraId="2C667986" w14:textId="325AF2E9" w:rsidR="00E848D9" w:rsidRPr="00F535B7" w:rsidRDefault="00193E52" w:rsidP="00977C07">
      <w:pPr>
        <w:pStyle w:val="Heading2"/>
        <w:rPr>
          <w:rFonts w:ascii="Calibri" w:hAnsi="Calibri" w:cs="Calibri"/>
        </w:rPr>
      </w:pPr>
      <w:r w:rsidRPr="00F535B7">
        <w:rPr>
          <w:rFonts w:ascii="Calibri" w:hAnsi="Calibri" w:cs="Calibri"/>
        </w:rPr>
        <w:t>Other Resources</w:t>
      </w:r>
      <w:r w:rsidR="00EF7A71">
        <w:rPr>
          <w:rFonts w:ascii="Calibri" w:hAnsi="Calibri" w:cs="Calibri"/>
        </w:rPr>
        <w:br/>
      </w:r>
    </w:p>
    <w:p w14:paraId="7250DA73" w14:textId="75620390" w:rsidR="00193E52" w:rsidRPr="00193E52" w:rsidRDefault="00193E52">
      <w:r w:rsidRPr="00F535B7">
        <w:rPr>
          <w:rFonts w:ascii="Calibri" w:hAnsi="Calibri" w:cs="Calibri"/>
        </w:rPr>
        <w:t xml:space="preserve">Data Protection Commission, </w:t>
      </w:r>
      <w:hyperlink r:id="rId18" w:history="1">
        <w:r w:rsidRPr="00F535B7">
          <w:rPr>
            <w:rStyle w:val="Hyperlink"/>
            <w:rFonts w:ascii="Calibri" w:hAnsi="Calibri" w:cs="Calibri"/>
          </w:rPr>
          <w:t>Guidance on Legal Bases for Processing Personal Data</w:t>
        </w:r>
      </w:hyperlink>
      <w:r>
        <w:t xml:space="preserve"> (December 2019) </w:t>
      </w:r>
    </w:p>
    <w:sectPr w:rsidR="00193E52" w:rsidRPr="00193E52" w:rsidSect="00012435">
      <w:headerReference w:type="default" r:id="rId19"/>
      <w:footerReference w:type="default" r:id="rId20"/>
      <w:headerReference w:type="first" r:id="rId21"/>
      <w:footerReference w:type="first" r:id="rId22"/>
      <w:pgSz w:w="11906" w:h="16838"/>
      <w:pgMar w:top="1418"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9677" w14:textId="77777777" w:rsidR="000D5713" w:rsidRDefault="000D5713" w:rsidP="007C73BC">
      <w:r>
        <w:separator/>
      </w:r>
    </w:p>
  </w:endnote>
  <w:endnote w:type="continuationSeparator" w:id="0">
    <w:p w14:paraId="7D774308" w14:textId="77777777" w:rsidR="000D5713" w:rsidRDefault="000D5713" w:rsidP="007C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A3F9" w14:textId="342FA2FA" w:rsidR="007645E4" w:rsidRDefault="007645E4" w:rsidP="007C73BC">
    <w:pPr>
      <w:pStyle w:val="Footer"/>
    </w:pPr>
    <w:r>
      <w:fldChar w:fldCharType="begin"/>
    </w:r>
    <w:r>
      <w:instrText xml:space="preserve"> DATE  \@ "MMMM yyyy" </w:instrText>
    </w:r>
    <w:r>
      <w:fldChar w:fldCharType="separate"/>
    </w:r>
    <w:r w:rsidR="00C350C3">
      <w:rPr>
        <w:noProof/>
      </w:rPr>
      <w:t>May 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07D3" w14:textId="65FA9759" w:rsidR="00E848D9" w:rsidRDefault="00E848D9" w:rsidP="007C73BC">
    <w:pPr>
      <w:pStyle w:val="Footer"/>
    </w:pPr>
    <w:r>
      <w:fldChar w:fldCharType="begin"/>
    </w:r>
    <w:r>
      <w:instrText xml:space="preserve"> DATE  \@ "MMMM yyyy" </w:instrText>
    </w:r>
    <w:r>
      <w:fldChar w:fldCharType="separate"/>
    </w:r>
    <w:r w:rsidR="00C350C3">
      <w:rPr>
        <w:noProof/>
      </w:rPr>
      <w:t>May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DF5F" w14:textId="77777777" w:rsidR="000D5713" w:rsidRDefault="000D5713" w:rsidP="007C73BC">
      <w:r>
        <w:separator/>
      </w:r>
    </w:p>
  </w:footnote>
  <w:footnote w:type="continuationSeparator" w:id="0">
    <w:p w14:paraId="3E6A9A42" w14:textId="77777777" w:rsidR="000D5713" w:rsidRDefault="000D5713" w:rsidP="007C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552B" w14:textId="46F269DE" w:rsidR="00E848D9" w:rsidRDefault="00E848D9" w:rsidP="007C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1E81" w14:textId="5A41B007" w:rsidR="00E848D9" w:rsidRPr="00E848D9" w:rsidRDefault="00E848D9" w:rsidP="007C73BC">
    <w:pPr>
      <w:rPr>
        <w:color w:val="212121"/>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2554"/>
    <w:multiLevelType w:val="multilevel"/>
    <w:tmpl w:val="99946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18D1B18"/>
    <w:multiLevelType w:val="multilevel"/>
    <w:tmpl w:val="5768B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735BF"/>
    <w:multiLevelType w:val="multilevel"/>
    <w:tmpl w:val="33025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EDF3F96"/>
    <w:multiLevelType w:val="multilevel"/>
    <w:tmpl w:val="3DB4A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8C57F50"/>
    <w:multiLevelType w:val="multilevel"/>
    <w:tmpl w:val="C92AE5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A2B04"/>
    <w:multiLevelType w:val="multilevel"/>
    <w:tmpl w:val="E752C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83F3138"/>
    <w:multiLevelType w:val="hybridMultilevel"/>
    <w:tmpl w:val="D19AB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307A14"/>
    <w:multiLevelType w:val="hybridMultilevel"/>
    <w:tmpl w:val="E900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5A260C"/>
    <w:multiLevelType w:val="multilevel"/>
    <w:tmpl w:val="B892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AE49C8"/>
    <w:multiLevelType w:val="multilevel"/>
    <w:tmpl w:val="8BA82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7CA06CD"/>
    <w:multiLevelType w:val="multilevel"/>
    <w:tmpl w:val="34B09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F2A0D"/>
    <w:multiLevelType w:val="multilevel"/>
    <w:tmpl w:val="D2C8D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7554FE"/>
    <w:multiLevelType w:val="hybridMultilevel"/>
    <w:tmpl w:val="DB56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1673D2"/>
    <w:multiLevelType w:val="multilevel"/>
    <w:tmpl w:val="1B2A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430C7A"/>
    <w:multiLevelType w:val="multilevel"/>
    <w:tmpl w:val="B64E6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14476802">
    <w:abstractNumId w:val="7"/>
  </w:num>
  <w:num w:numId="2" w16cid:durableId="1295406719">
    <w:abstractNumId w:val="12"/>
  </w:num>
  <w:num w:numId="3" w16cid:durableId="419759681">
    <w:abstractNumId w:val="6"/>
  </w:num>
  <w:num w:numId="4" w16cid:durableId="364797845">
    <w:abstractNumId w:val="8"/>
  </w:num>
  <w:num w:numId="5" w16cid:durableId="211813882">
    <w:abstractNumId w:val="9"/>
  </w:num>
  <w:num w:numId="6" w16cid:durableId="128210237">
    <w:abstractNumId w:val="13"/>
  </w:num>
  <w:num w:numId="7" w16cid:durableId="787168013">
    <w:abstractNumId w:val="2"/>
  </w:num>
  <w:num w:numId="8" w16cid:durableId="1473863237">
    <w:abstractNumId w:val="1"/>
  </w:num>
  <w:num w:numId="9" w16cid:durableId="2101871155">
    <w:abstractNumId w:val="0"/>
  </w:num>
  <w:num w:numId="10" w16cid:durableId="162863929">
    <w:abstractNumId w:val="11"/>
  </w:num>
  <w:num w:numId="11" w16cid:durableId="815608124">
    <w:abstractNumId w:val="5"/>
  </w:num>
  <w:num w:numId="12" w16cid:durableId="500853939">
    <w:abstractNumId w:val="4"/>
  </w:num>
  <w:num w:numId="13" w16cid:durableId="967970781">
    <w:abstractNumId w:val="3"/>
  </w:num>
  <w:num w:numId="14" w16cid:durableId="634218203">
    <w:abstractNumId w:val="10"/>
  </w:num>
  <w:num w:numId="15" w16cid:durableId="1779715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38"/>
    <w:rsid w:val="00006FD9"/>
    <w:rsid w:val="00012435"/>
    <w:rsid w:val="00051CF2"/>
    <w:rsid w:val="000853B0"/>
    <w:rsid w:val="000D5713"/>
    <w:rsid w:val="000E1921"/>
    <w:rsid w:val="001062A2"/>
    <w:rsid w:val="001428B0"/>
    <w:rsid w:val="0015309E"/>
    <w:rsid w:val="00153D82"/>
    <w:rsid w:val="00193E52"/>
    <w:rsid w:val="001A0798"/>
    <w:rsid w:val="002110A1"/>
    <w:rsid w:val="00294C01"/>
    <w:rsid w:val="002E15AC"/>
    <w:rsid w:val="00307280"/>
    <w:rsid w:val="00380BAE"/>
    <w:rsid w:val="003E048A"/>
    <w:rsid w:val="003F2D61"/>
    <w:rsid w:val="004313BA"/>
    <w:rsid w:val="005020CC"/>
    <w:rsid w:val="005559CA"/>
    <w:rsid w:val="005979F3"/>
    <w:rsid w:val="005C2B51"/>
    <w:rsid w:val="006063C6"/>
    <w:rsid w:val="00625E7A"/>
    <w:rsid w:val="00642672"/>
    <w:rsid w:val="006B5740"/>
    <w:rsid w:val="006C32EA"/>
    <w:rsid w:val="00747E10"/>
    <w:rsid w:val="007645E4"/>
    <w:rsid w:val="007C73BC"/>
    <w:rsid w:val="007E130B"/>
    <w:rsid w:val="007F76E4"/>
    <w:rsid w:val="00802462"/>
    <w:rsid w:val="00805353"/>
    <w:rsid w:val="00813148"/>
    <w:rsid w:val="00823CBE"/>
    <w:rsid w:val="00894B0E"/>
    <w:rsid w:val="008E346E"/>
    <w:rsid w:val="009159E7"/>
    <w:rsid w:val="00955E10"/>
    <w:rsid w:val="00977C07"/>
    <w:rsid w:val="009D7797"/>
    <w:rsid w:val="00A00EBD"/>
    <w:rsid w:val="00A5379C"/>
    <w:rsid w:val="00A7481F"/>
    <w:rsid w:val="00A83466"/>
    <w:rsid w:val="00AD14EE"/>
    <w:rsid w:val="00B5507C"/>
    <w:rsid w:val="00B84246"/>
    <w:rsid w:val="00BC1124"/>
    <w:rsid w:val="00C273FE"/>
    <w:rsid w:val="00C350C3"/>
    <w:rsid w:val="00C66059"/>
    <w:rsid w:val="00C702F2"/>
    <w:rsid w:val="00C84770"/>
    <w:rsid w:val="00C872D4"/>
    <w:rsid w:val="00C91D38"/>
    <w:rsid w:val="00CB09FC"/>
    <w:rsid w:val="00D01ED0"/>
    <w:rsid w:val="00D04AAF"/>
    <w:rsid w:val="00D247FE"/>
    <w:rsid w:val="00D43CE6"/>
    <w:rsid w:val="00D54C06"/>
    <w:rsid w:val="00DA075D"/>
    <w:rsid w:val="00E848D9"/>
    <w:rsid w:val="00EA5B55"/>
    <w:rsid w:val="00EE3A2F"/>
    <w:rsid w:val="00EF7A71"/>
    <w:rsid w:val="00F535B7"/>
    <w:rsid w:val="00F7323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CEB2"/>
  <w15:chartTrackingRefBased/>
  <w15:docId w15:val="{55A6E319-4174-4205-9EA5-C1370B44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C"/>
    <w:pPr>
      <w:jc w:val="both"/>
    </w:pPr>
    <w:rPr>
      <w:lang w:val="en-GB"/>
    </w:rPr>
  </w:style>
  <w:style w:type="paragraph" w:styleId="Heading1">
    <w:name w:val="heading 1"/>
    <w:basedOn w:val="Title"/>
    <w:next w:val="Normal"/>
    <w:link w:val="Heading1Char"/>
    <w:uiPriority w:val="9"/>
    <w:qFormat/>
    <w:rsid w:val="0015309E"/>
    <w:pPr>
      <w:jc w:val="center"/>
      <w:outlineLvl w:val="0"/>
    </w:pPr>
    <w:rPr>
      <w:color w:val="2E74B5" w:themeColor="accent1" w:themeShade="BF"/>
      <w:sz w:val="36"/>
    </w:rPr>
  </w:style>
  <w:style w:type="paragraph" w:styleId="Heading2">
    <w:name w:val="heading 2"/>
    <w:basedOn w:val="Heading1"/>
    <w:next w:val="Normal"/>
    <w:link w:val="Heading2Char"/>
    <w:uiPriority w:val="9"/>
    <w:unhideWhenUsed/>
    <w:qFormat/>
    <w:rsid w:val="0015309E"/>
    <w:pPr>
      <w:jc w:val="left"/>
      <w:outlineLvl w:val="1"/>
    </w:pPr>
    <w:rPr>
      <w:b w:val="0"/>
      <w:sz w:val="32"/>
    </w:rPr>
  </w:style>
  <w:style w:type="paragraph" w:styleId="Heading3">
    <w:name w:val="heading 3"/>
    <w:basedOn w:val="Heading2"/>
    <w:next w:val="Normal"/>
    <w:link w:val="Heading3Char"/>
    <w:uiPriority w:val="9"/>
    <w:unhideWhenUsed/>
    <w:qFormat/>
    <w:rsid w:val="006063C6"/>
    <w:pPr>
      <w:spacing w:before="24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B0"/>
  </w:style>
  <w:style w:type="paragraph" w:styleId="Footer">
    <w:name w:val="footer"/>
    <w:basedOn w:val="Normal"/>
    <w:link w:val="FooterChar"/>
    <w:uiPriority w:val="99"/>
    <w:unhideWhenUsed/>
    <w:rsid w:val="0014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B0"/>
  </w:style>
  <w:style w:type="character" w:customStyle="1" w:styleId="Heading1Char">
    <w:name w:val="Heading 1 Char"/>
    <w:basedOn w:val="DefaultParagraphFont"/>
    <w:link w:val="Heading1"/>
    <w:uiPriority w:val="9"/>
    <w:rsid w:val="0015309E"/>
    <w:rPr>
      <w:b/>
      <w:noProof/>
      <w:color w:val="2E74B5" w:themeColor="accent1" w:themeShade="BF"/>
      <w:sz w:val="36"/>
      <w:lang w:val="en-GB"/>
    </w:rPr>
  </w:style>
  <w:style w:type="paragraph" w:styleId="Title">
    <w:name w:val="Title"/>
    <w:basedOn w:val="Header"/>
    <w:next w:val="Normal"/>
    <w:link w:val="TitleChar"/>
    <w:uiPriority w:val="10"/>
    <w:qFormat/>
    <w:rsid w:val="007645E4"/>
    <w:pPr>
      <w:jc w:val="right"/>
    </w:pPr>
    <w:rPr>
      <w:b/>
      <w:noProof/>
      <w:color w:val="00B050"/>
      <w:sz w:val="44"/>
    </w:rPr>
  </w:style>
  <w:style w:type="character" w:customStyle="1" w:styleId="TitleChar">
    <w:name w:val="Title Char"/>
    <w:basedOn w:val="DefaultParagraphFont"/>
    <w:link w:val="Title"/>
    <w:uiPriority w:val="10"/>
    <w:rsid w:val="007645E4"/>
    <w:rPr>
      <w:b/>
      <w:noProof/>
      <w:color w:val="00B050"/>
      <w:sz w:val="44"/>
    </w:rPr>
  </w:style>
  <w:style w:type="character" w:customStyle="1" w:styleId="Heading2Char">
    <w:name w:val="Heading 2 Char"/>
    <w:basedOn w:val="DefaultParagraphFont"/>
    <w:link w:val="Heading2"/>
    <w:uiPriority w:val="9"/>
    <w:rsid w:val="0015309E"/>
    <w:rPr>
      <w:noProof/>
      <w:color w:val="2E74B5" w:themeColor="accent1" w:themeShade="BF"/>
      <w:sz w:val="32"/>
      <w:lang w:val="en-GB"/>
    </w:rPr>
  </w:style>
  <w:style w:type="character" w:styleId="SubtleEmphasis">
    <w:name w:val="Subtle Emphasis"/>
    <w:uiPriority w:val="19"/>
    <w:qFormat/>
    <w:rsid w:val="007645E4"/>
    <w:rPr>
      <w:rFonts w:eastAsia="Times New Roman" w:cstheme="minorHAnsi"/>
      <w:i/>
      <w:color w:val="000000"/>
      <w:sz w:val="16"/>
      <w:szCs w:val="16"/>
      <w:lang w:eastAsia="en-IE"/>
    </w:rPr>
  </w:style>
  <w:style w:type="table" w:styleId="TableGrid">
    <w:name w:val="Table Grid"/>
    <w:basedOn w:val="TableNormal"/>
    <w:uiPriority w:val="39"/>
    <w:rsid w:val="0076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5E4"/>
    <w:rPr>
      <w:b/>
      <w:bCs/>
    </w:rPr>
  </w:style>
  <w:style w:type="paragraph" w:styleId="ListParagraph">
    <w:name w:val="List Paragraph"/>
    <w:basedOn w:val="Normal"/>
    <w:uiPriority w:val="34"/>
    <w:qFormat/>
    <w:rsid w:val="00E848D9"/>
    <w:pPr>
      <w:ind w:left="720"/>
      <w:contextualSpacing/>
    </w:pPr>
  </w:style>
  <w:style w:type="character" w:styleId="Hyperlink">
    <w:name w:val="Hyperlink"/>
    <w:basedOn w:val="DefaultParagraphFont"/>
    <w:uiPriority w:val="99"/>
    <w:unhideWhenUsed/>
    <w:rsid w:val="00E848D9"/>
    <w:rPr>
      <w:color w:val="0563C1" w:themeColor="hyperlink"/>
      <w:u w:val="single"/>
    </w:rPr>
  </w:style>
  <w:style w:type="character" w:customStyle="1" w:styleId="Heading3Char">
    <w:name w:val="Heading 3 Char"/>
    <w:basedOn w:val="DefaultParagraphFont"/>
    <w:link w:val="Heading3"/>
    <w:uiPriority w:val="9"/>
    <w:rsid w:val="006063C6"/>
    <w:rPr>
      <w:noProof/>
      <w:color w:val="2E74B5" w:themeColor="accent1" w:themeShade="BF"/>
      <w:sz w:val="28"/>
      <w:lang w:val="en-GB"/>
    </w:rPr>
  </w:style>
  <w:style w:type="paragraph" w:styleId="BalloonText">
    <w:name w:val="Balloon Text"/>
    <w:basedOn w:val="Normal"/>
    <w:link w:val="BalloonTextChar"/>
    <w:uiPriority w:val="99"/>
    <w:semiHidden/>
    <w:unhideWhenUsed/>
    <w:rsid w:val="00EE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A2F"/>
    <w:rPr>
      <w:rFonts w:ascii="Segoe UI" w:hAnsi="Segoe UI" w:cs="Segoe UI"/>
      <w:sz w:val="18"/>
      <w:szCs w:val="18"/>
      <w:lang w:val="en-GB"/>
    </w:rPr>
  </w:style>
  <w:style w:type="paragraph" w:styleId="EndnoteText">
    <w:name w:val="endnote text"/>
    <w:basedOn w:val="Normal"/>
    <w:link w:val="EndnoteTextChar"/>
    <w:uiPriority w:val="99"/>
    <w:semiHidden/>
    <w:unhideWhenUsed/>
    <w:rsid w:val="00D43C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3CE6"/>
    <w:rPr>
      <w:sz w:val="20"/>
      <w:szCs w:val="20"/>
      <w:lang w:val="en-GB"/>
    </w:rPr>
  </w:style>
  <w:style w:type="character" w:styleId="EndnoteReference">
    <w:name w:val="endnote reference"/>
    <w:basedOn w:val="DefaultParagraphFont"/>
    <w:uiPriority w:val="99"/>
    <w:semiHidden/>
    <w:unhideWhenUsed/>
    <w:rsid w:val="00D43CE6"/>
    <w:rPr>
      <w:vertAlign w:val="superscript"/>
    </w:rPr>
  </w:style>
  <w:style w:type="paragraph" w:styleId="FootnoteText">
    <w:name w:val="footnote text"/>
    <w:basedOn w:val="Normal"/>
    <w:link w:val="FootnoteTextChar"/>
    <w:uiPriority w:val="99"/>
    <w:semiHidden/>
    <w:unhideWhenUsed/>
    <w:rsid w:val="00D43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CE6"/>
    <w:rPr>
      <w:sz w:val="20"/>
      <w:szCs w:val="20"/>
      <w:lang w:val="en-GB"/>
    </w:rPr>
  </w:style>
  <w:style w:type="character" w:styleId="FootnoteReference">
    <w:name w:val="footnote reference"/>
    <w:basedOn w:val="DefaultParagraphFont"/>
    <w:uiPriority w:val="99"/>
    <w:semiHidden/>
    <w:unhideWhenUsed/>
    <w:rsid w:val="00D43CE6"/>
    <w:rPr>
      <w:vertAlign w:val="superscript"/>
    </w:rPr>
  </w:style>
  <w:style w:type="paragraph" w:styleId="Revision">
    <w:name w:val="Revision"/>
    <w:hidden/>
    <w:uiPriority w:val="99"/>
    <w:semiHidden/>
    <w:rsid w:val="00813148"/>
    <w:pPr>
      <w:spacing w:after="0" w:line="240" w:lineRule="auto"/>
    </w:pPr>
    <w:rPr>
      <w:lang w:val="en-GB"/>
    </w:rPr>
  </w:style>
  <w:style w:type="character" w:styleId="CommentReference">
    <w:name w:val="annotation reference"/>
    <w:basedOn w:val="DefaultParagraphFont"/>
    <w:uiPriority w:val="99"/>
    <w:semiHidden/>
    <w:unhideWhenUsed/>
    <w:rsid w:val="00813148"/>
    <w:rPr>
      <w:sz w:val="16"/>
      <w:szCs w:val="16"/>
    </w:rPr>
  </w:style>
  <w:style w:type="paragraph" w:styleId="CommentText">
    <w:name w:val="annotation text"/>
    <w:basedOn w:val="Normal"/>
    <w:link w:val="CommentTextChar"/>
    <w:uiPriority w:val="99"/>
    <w:unhideWhenUsed/>
    <w:rsid w:val="00813148"/>
    <w:pPr>
      <w:spacing w:line="240" w:lineRule="auto"/>
    </w:pPr>
    <w:rPr>
      <w:sz w:val="20"/>
      <w:szCs w:val="20"/>
    </w:rPr>
  </w:style>
  <w:style w:type="character" w:customStyle="1" w:styleId="CommentTextChar">
    <w:name w:val="Comment Text Char"/>
    <w:basedOn w:val="DefaultParagraphFont"/>
    <w:link w:val="CommentText"/>
    <w:uiPriority w:val="99"/>
    <w:rsid w:val="00813148"/>
    <w:rPr>
      <w:sz w:val="20"/>
      <w:szCs w:val="20"/>
      <w:lang w:val="en-GB"/>
    </w:rPr>
  </w:style>
  <w:style w:type="paragraph" w:styleId="CommentSubject">
    <w:name w:val="annotation subject"/>
    <w:basedOn w:val="CommentText"/>
    <w:next w:val="CommentText"/>
    <w:link w:val="CommentSubjectChar"/>
    <w:uiPriority w:val="99"/>
    <w:semiHidden/>
    <w:unhideWhenUsed/>
    <w:rsid w:val="00813148"/>
    <w:rPr>
      <w:b/>
      <w:bCs/>
    </w:rPr>
  </w:style>
  <w:style w:type="character" w:customStyle="1" w:styleId="CommentSubjectChar">
    <w:name w:val="Comment Subject Char"/>
    <w:basedOn w:val="CommentTextChar"/>
    <w:link w:val="CommentSubject"/>
    <w:uiPriority w:val="99"/>
    <w:semiHidden/>
    <w:rsid w:val="00813148"/>
    <w:rPr>
      <w:b/>
      <w:bCs/>
      <w:sz w:val="20"/>
      <w:szCs w:val="20"/>
      <w:lang w:val="en-GB"/>
    </w:rPr>
  </w:style>
  <w:style w:type="character" w:styleId="FollowedHyperlink">
    <w:name w:val="FollowedHyperlink"/>
    <w:basedOn w:val="DefaultParagraphFont"/>
    <w:uiPriority w:val="99"/>
    <w:semiHidden/>
    <w:unhideWhenUsed/>
    <w:rsid w:val="00977C07"/>
    <w:rPr>
      <w:color w:val="954F72" w:themeColor="followedHyperlink"/>
      <w:u w:val="single"/>
    </w:rPr>
  </w:style>
  <w:style w:type="character" w:styleId="UnresolvedMention">
    <w:name w:val="Unresolved Mention"/>
    <w:basedOn w:val="DefaultParagraphFont"/>
    <w:uiPriority w:val="99"/>
    <w:semiHidden/>
    <w:unhideWhenUsed/>
    <w:rsid w:val="009D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8550">
      <w:bodyDiv w:val="1"/>
      <w:marLeft w:val="0"/>
      <w:marRight w:val="0"/>
      <w:marTop w:val="0"/>
      <w:marBottom w:val="0"/>
      <w:divBdr>
        <w:top w:val="none" w:sz="0" w:space="0" w:color="auto"/>
        <w:left w:val="none" w:sz="0" w:space="0" w:color="auto"/>
        <w:bottom w:val="none" w:sz="0" w:space="0" w:color="auto"/>
        <w:right w:val="none" w:sz="0" w:space="0" w:color="auto"/>
      </w:divBdr>
    </w:div>
    <w:div w:id="286785852">
      <w:bodyDiv w:val="1"/>
      <w:marLeft w:val="0"/>
      <w:marRight w:val="0"/>
      <w:marTop w:val="0"/>
      <w:marBottom w:val="0"/>
      <w:divBdr>
        <w:top w:val="none" w:sz="0" w:space="0" w:color="auto"/>
        <w:left w:val="none" w:sz="0" w:space="0" w:color="auto"/>
        <w:bottom w:val="none" w:sz="0" w:space="0" w:color="auto"/>
        <w:right w:val="none" w:sz="0" w:space="0" w:color="auto"/>
      </w:divBdr>
    </w:div>
    <w:div w:id="290092031">
      <w:bodyDiv w:val="1"/>
      <w:marLeft w:val="0"/>
      <w:marRight w:val="0"/>
      <w:marTop w:val="0"/>
      <w:marBottom w:val="0"/>
      <w:divBdr>
        <w:top w:val="none" w:sz="0" w:space="0" w:color="auto"/>
        <w:left w:val="none" w:sz="0" w:space="0" w:color="auto"/>
        <w:bottom w:val="none" w:sz="0" w:space="0" w:color="auto"/>
        <w:right w:val="none" w:sz="0" w:space="0" w:color="auto"/>
      </w:divBdr>
      <w:divsChild>
        <w:div w:id="1248340702">
          <w:marLeft w:val="0"/>
          <w:marRight w:val="0"/>
          <w:marTop w:val="0"/>
          <w:marBottom w:val="0"/>
          <w:divBdr>
            <w:top w:val="none" w:sz="0" w:space="0" w:color="auto"/>
            <w:left w:val="none" w:sz="0" w:space="0" w:color="auto"/>
            <w:bottom w:val="none" w:sz="0" w:space="0" w:color="auto"/>
            <w:right w:val="none" w:sz="0" w:space="0" w:color="auto"/>
          </w:divBdr>
        </w:div>
        <w:div w:id="681129758">
          <w:marLeft w:val="0"/>
          <w:marRight w:val="0"/>
          <w:marTop w:val="0"/>
          <w:marBottom w:val="0"/>
          <w:divBdr>
            <w:top w:val="none" w:sz="0" w:space="0" w:color="auto"/>
            <w:left w:val="none" w:sz="0" w:space="0" w:color="auto"/>
            <w:bottom w:val="none" w:sz="0" w:space="0" w:color="auto"/>
            <w:right w:val="none" w:sz="0" w:space="0" w:color="auto"/>
          </w:divBdr>
        </w:div>
        <w:div w:id="447160617">
          <w:marLeft w:val="0"/>
          <w:marRight w:val="0"/>
          <w:marTop w:val="0"/>
          <w:marBottom w:val="0"/>
          <w:divBdr>
            <w:top w:val="none" w:sz="0" w:space="0" w:color="auto"/>
            <w:left w:val="none" w:sz="0" w:space="0" w:color="auto"/>
            <w:bottom w:val="none" w:sz="0" w:space="0" w:color="auto"/>
            <w:right w:val="none" w:sz="0" w:space="0" w:color="auto"/>
          </w:divBdr>
        </w:div>
        <w:div w:id="1138230866">
          <w:marLeft w:val="0"/>
          <w:marRight w:val="0"/>
          <w:marTop w:val="0"/>
          <w:marBottom w:val="0"/>
          <w:divBdr>
            <w:top w:val="none" w:sz="0" w:space="0" w:color="auto"/>
            <w:left w:val="none" w:sz="0" w:space="0" w:color="auto"/>
            <w:bottom w:val="none" w:sz="0" w:space="0" w:color="auto"/>
            <w:right w:val="none" w:sz="0" w:space="0" w:color="auto"/>
          </w:divBdr>
        </w:div>
      </w:divsChild>
    </w:div>
    <w:div w:id="516506488">
      <w:bodyDiv w:val="1"/>
      <w:marLeft w:val="0"/>
      <w:marRight w:val="0"/>
      <w:marTop w:val="0"/>
      <w:marBottom w:val="0"/>
      <w:divBdr>
        <w:top w:val="none" w:sz="0" w:space="0" w:color="auto"/>
        <w:left w:val="none" w:sz="0" w:space="0" w:color="auto"/>
        <w:bottom w:val="none" w:sz="0" w:space="0" w:color="auto"/>
        <w:right w:val="none" w:sz="0" w:space="0" w:color="auto"/>
      </w:divBdr>
      <w:divsChild>
        <w:div w:id="1484276601">
          <w:marLeft w:val="0"/>
          <w:marRight w:val="0"/>
          <w:marTop w:val="0"/>
          <w:marBottom w:val="0"/>
          <w:divBdr>
            <w:top w:val="none" w:sz="0" w:space="0" w:color="auto"/>
            <w:left w:val="none" w:sz="0" w:space="0" w:color="auto"/>
            <w:bottom w:val="none" w:sz="0" w:space="0" w:color="auto"/>
            <w:right w:val="none" w:sz="0" w:space="0" w:color="auto"/>
          </w:divBdr>
          <w:divsChild>
            <w:div w:id="2028482343">
              <w:marLeft w:val="0"/>
              <w:marRight w:val="0"/>
              <w:marTop w:val="0"/>
              <w:marBottom w:val="0"/>
              <w:divBdr>
                <w:top w:val="none" w:sz="0" w:space="0" w:color="auto"/>
                <w:left w:val="none" w:sz="0" w:space="0" w:color="auto"/>
                <w:bottom w:val="none" w:sz="0" w:space="0" w:color="auto"/>
                <w:right w:val="none" w:sz="0" w:space="0" w:color="auto"/>
              </w:divBdr>
            </w:div>
            <w:div w:id="1985695753">
              <w:marLeft w:val="0"/>
              <w:marRight w:val="0"/>
              <w:marTop w:val="0"/>
              <w:marBottom w:val="0"/>
              <w:divBdr>
                <w:top w:val="none" w:sz="0" w:space="0" w:color="auto"/>
                <w:left w:val="none" w:sz="0" w:space="0" w:color="auto"/>
                <w:bottom w:val="none" w:sz="0" w:space="0" w:color="auto"/>
                <w:right w:val="none" w:sz="0" w:space="0" w:color="auto"/>
              </w:divBdr>
            </w:div>
            <w:div w:id="1526020859">
              <w:marLeft w:val="0"/>
              <w:marRight w:val="0"/>
              <w:marTop w:val="0"/>
              <w:marBottom w:val="0"/>
              <w:divBdr>
                <w:top w:val="none" w:sz="0" w:space="0" w:color="auto"/>
                <w:left w:val="none" w:sz="0" w:space="0" w:color="auto"/>
                <w:bottom w:val="none" w:sz="0" w:space="0" w:color="auto"/>
                <w:right w:val="none" w:sz="0" w:space="0" w:color="auto"/>
              </w:divBdr>
            </w:div>
          </w:divsChild>
        </w:div>
        <w:div w:id="2086300240">
          <w:marLeft w:val="0"/>
          <w:marRight w:val="0"/>
          <w:marTop w:val="0"/>
          <w:marBottom w:val="0"/>
          <w:divBdr>
            <w:top w:val="none" w:sz="0" w:space="0" w:color="auto"/>
            <w:left w:val="none" w:sz="0" w:space="0" w:color="auto"/>
            <w:bottom w:val="none" w:sz="0" w:space="0" w:color="auto"/>
            <w:right w:val="none" w:sz="0" w:space="0" w:color="auto"/>
          </w:divBdr>
          <w:divsChild>
            <w:div w:id="296181041">
              <w:marLeft w:val="0"/>
              <w:marRight w:val="0"/>
              <w:marTop w:val="0"/>
              <w:marBottom w:val="0"/>
              <w:divBdr>
                <w:top w:val="none" w:sz="0" w:space="0" w:color="auto"/>
                <w:left w:val="none" w:sz="0" w:space="0" w:color="auto"/>
                <w:bottom w:val="none" w:sz="0" w:space="0" w:color="auto"/>
                <w:right w:val="none" w:sz="0" w:space="0" w:color="auto"/>
              </w:divBdr>
            </w:div>
            <w:div w:id="1443307450">
              <w:marLeft w:val="0"/>
              <w:marRight w:val="0"/>
              <w:marTop w:val="0"/>
              <w:marBottom w:val="0"/>
              <w:divBdr>
                <w:top w:val="none" w:sz="0" w:space="0" w:color="auto"/>
                <w:left w:val="none" w:sz="0" w:space="0" w:color="auto"/>
                <w:bottom w:val="none" w:sz="0" w:space="0" w:color="auto"/>
                <w:right w:val="none" w:sz="0" w:space="0" w:color="auto"/>
              </w:divBdr>
            </w:div>
            <w:div w:id="724719379">
              <w:marLeft w:val="0"/>
              <w:marRight w:val="0"/>
              <w:marTop w:val="0"/>
              <w:marBottom w:val="0"/>
              <w:divBdr>
                <w:top w:val="none" w:sz="0" w:space="0" w:color="auto"/>
                <w:left w:val="none" w:sz="0" w:space="0" w:color="auto"/>
                <w:bottom w:val="none" w:sz="0" w:space="0" w:color="auto"/>
                <w:right w:val="none" w:sz="0" w:space="0" w:color="auto"/>
              </w:divBdr>
            </w:div>
            <w:div w:id="569001642">
              <w:marLeft w:val="0"/>
              <w:marRight w:val="0"/>
              <w:marTop w:val="0"/>
              <w:marBottom w:val="0"/>
              <w:divBdr>
                <w:top w:val="none" w:sz="0" w:space="0" w:color="auto"/>
                <w:left w:val="none" w:sz="0" w:space="0" w:color="auto"/>
                <w:bottom w:val="none" w:sz="0" w:space="0" w:color="auto"/>
                <w:right w:val="none" w:sz="0" w:space="0" w:color="auto"/>
              </w:divBdr>
            </w:div>
            <w:div w:id="2065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1811">
      <w:bodyDiv w:val="1"/>
      <w:marLeft w:val="0"/>
      <w:marRight w:val="0"/>
      <w:marTop w:val="0"/>
      <w:marBottom w:val="0"/>
      <w:divBdr>
        <w:top w:val="none" w:sz="0" w:space="0" w:color="auto"/>
        <w:left w:val="none" w:sz="0" w:space="0" w:color="auto"/>
        <w:bottom w:val="none" w:sz="0" w:space="0" w:color="auto"/>
        <w:right w:val="none" w:sz="0" w:space="0" w:color="auto"/>
      </w:divBdr>
    </w:div>
    <w:div w:id="557056285">
      <w:bodyDiv w:val="1"/>
      <w:marLeft w:val="0"/>
      <w:marRight w:val="0"/>
      <w:marTop w:val="0"/>
      <w:marBottom w:val="0"/>
      <w:divBdr>
        <w:top w:val="none" w:sz="0" w:space="0" w:color="auto"/>
        <w:left w:val="none" w:sz="0" w:space="0" w:color="auto"/>
        <w:bottom w:val="none" w:sz="0" w:space="0" w:color="auto"/>
        <w:right w:val="none" w:sz="0" w:space="0" w:color="auto"/>
      </w:divBdr>
    </w:div>
    <w:div w:id="560289641">
      <w:bodyDiv w:val="1"/>
      <w:marLeft w:val="0"/>
      <w:marRight w:val="0"/>
      <w:marTop w:val="0"/>
      <w:marBottom w:val="0"/>
      <w:divBdr>
        <w:top w:val="none" w:sz="0" w:space="0" w:color="auto"/>
        <w:left w:val="none" w:sz="0" w:space="0" w:color="auto"/>
        <w:bottom w:val="none" w:sz="0" w:space="0" w:color="auto"/>
        <w:right w:val="none" w:sz="0" w:space="0" w:color="auto"/>
      </w:divBdr>
    </w:div>
    <w:div w:id="631906939">
      <w:bodyDiv w:val="1"/>
      <w:marLeft w:val="0"/>
      <w:marRight w:val="0"/>
      <w:marTop w:val="0"/>
      <w:marBottom w:val="0"/>
      <w:divBdr>
        <w:top w:val="none" w:sz="0" w:space="0" w:color="auto"/>
        <w:left w:val="none" w:sz="0" w:space="0" w:color="auto"/>
        <w:bottom w:val="none" w:sz="0" w:space="0" w:color="auto"/>
        <w:right w:val="none" w:sz="0" w:space="0" w:color="auto"/>
      </w:divBdr>
      <w:divsChild>
        <w:div w:id="373316022">
          <w:marLeft w:val="0"/>
          <w:marRight w:val="0"/>
          <w:marTop w:val="0"/>
          <w:marBottom w:val="0"/>
          <w:divBdr>
            <w:top w:val="none" w:sz="0" w:space="0" w:color="auto"/>
            <w:left w:val="none" w:sz="0" w:space="0" w:color="auto"/>
            <w:bottom w:val="none" w:sz="0" w:space="0" w:color="auto"/>
            <w:right w:val="none" w:sz="0" w:space="0" w:color="auto"/>
          </w:divBdr>
          <w:divsChild>
            <w:div w:id="1322269802">
              <w:marLeft w:val="0"/>
              <w:marRight w:val="0"/>
              <w:marTop w:val="0"/>
              <w:marBottom w:val="0"/>
              <w:divBdr>
                <w:top w:val="none" w:sz="0" w:space="0" w:color="auto"/>
                <w:left w:val="none" w:sz="0" w:space="0" w:color="auto"/>
                <w:bottom w:val="none" w:sz="0" w:space="0" w:color="auto"/>
                <w:right w:val="none" w:sz="0" w:space="0" w:color="auto"/>
              </w:divBdr>
            </w:div>
            <w:div w:id="1322270731">
              <w:marLeft w:val="0"/>
              <w:marRight w:val="0"/>
              <w:marTop w:val="0"/>
              <w:marBottom w:val="0"/>
              <w:divBdr>
                <w:top w:val="none" w:sz="0" w:space="0" w:color="auto"/>
                <w:left w:val="none" w:sz="0" w:space="0" w:color="auto"/>
                <w:bottom w:val="none" w:sz="0" w:space="0" w:color="auto"/>
                <w:right w:val="none" w:sz="0" w:space="0" w:color="auto"/>
              </w:divBdr>
            </w:div>
            <w:div w:id="153766260">
              <w:marLeft w:val="0"/>
              <w:marRight w:val="0"/>
              <w:marTop w:val="0"/>
              <w:marBottom w:val="0"/>
              <w:divBdr>
                <w:top w:val="none" w:sz="0" w:space="0" w:color="auto"/>
                <w:left w:val="none" w:sz="0" w:space="0" w:color="auto"/>
                <w:bottom w:val="none" w:sz="0" w:space="0" w:color="auto"/>
                <w:right w:val="none" w:sz="0" w:space="0" w:color="auto"/>
              </w:divBdr>
            </w:div>
          </w:divsChild>
        </w:div>
        <w:div w:id="898128256">
          <w:marLeft w:val="0"/>
          <w:marRight w:val="0"/>
          <w:marTop w:val="0"/>
          <w:marBottom w:val="0"/>
          <w:divBdr>
            <w:top w:val="none" w:sz="0" w:space="0" w:color="auto"/>
            <w:left w:val="none" w:sz="0" w:space="0" w:color="auto"/>
            <w:bottom w:val="none" w:sz="0" w:space="0" w:color="auto"/>
            <w:right w:val="none" w:sz="0" w:space="0" w:color="auto"/>
          </w:divBdr>
          <w:divsChild>
            <w:div w:id="1962303959">
              <w:marLeft w:val="0"/>
              <w:marRight w:val="0"/>
              <w:marTop w:val="0"/>
              <w:marBottom w:val="0"/>
              <w:divBdr>
                <w:top w:val="none" w:sz="0" w:space="0" w:color="auto"/>
                <w:left w:val="none" w:sz="0" w:space="0" w:color="auto"/>
                <w:bottom w:val="none" w:sz="0" w:space="0" w:color="auto"/>
                <w:right w:val="none" w:sz="0" w:space="0" w:color="auto"/>
              </w:divBdr>
            </w:div>
            <w:div w:id="869881987">
              <w:marLeft w:val="0"/>
              <w:marRight w:val="0"/>
              <w:marTop w:val="0"/>
              <w:marBottom w:val="0"/>
              <w:divBdr>
                <w:top w:val="none" w:sz="0" w:space="0" w:color="auto"/>
                <w:left w:val="none" w:sz="0" w:space="0" w:color="auto"/>
                <w:bottom w:val="none" w:sz="0" w:space="0" w:color="auto"/>
                <w:right w:val="none" w:sz="0" w:space="0" w:color="auto"/>
              </w:divBdr>
            </w:div>
            <w:div w:id="981886534">
              <w:marLeft w:val="0"/>
              <w:marRight w:val="0"/>
              <w:marTop w:val="0"/>
              <w:marBottom w:val="0"/>
              <w:divBdr>
                <w:top w:val="none" w:sz="0" w:space="0" w:color="auto"/>
                <w:left w:val="none" w:sz="0" w:space="0" w:color="auto"/>
                <w:bottom w:val="none" w:sz="0" w:space="0" w:color="auto"/>
                <w:right w:val="none" w:sz="0" w:space="0" w:color="auto"/>
              </w:divBdr>
            </w:div>
            <w:div w:id="722678622">
              <w:marLeft w:val="0"/>
              <w:marRight w:val="0"/>
              <w:marTop w:val="0"/>
              <w:marBottom w:val="0"/>
              <w:divBdr>
                <w:top w:val="none" w:sz="0" w:space="0" w:color="auto"/>
                <w:left w:val="none" w:sz="0" w:space="0" w:color="auto"/>
                <w:bottom w:val="none" w:sz="0" w:space="0" w:color="auto"/>
                <w:right w:val="none" w:sz="0" w:space="0" w:color="auto"/>
              </w:divBdr>
            </w:div>
            <w:div w:id="707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8051">
      <w:bodyDiv w:val="1"/>
      <w:marLeft w:val="0"/>
      <w:marRight w:val="0"/>
      <w:marTop w:val="0"/>
      <w:marBottom w:val="0"/>
      <w:divBdr>
        <w:top w:val="none" w:sz="0" w:space="0" w:color="auto"/>
        <w:left w:val="none" w:sz="0" w:space="0" w:color="auto"/>
        <w:bottom w:val="none" w:sz="0" w:space="0" w:color="auto"/>
        <w:right w:val="none" w:sz="0" w:space="0" w:color="auto"/>
      </w:divBdr>
      <w:divsChild>
        <w:div w:id="355271904">
          <w:marLeft w:val="0"/>
          <w:marRight w:val="0"/>
          <w:marTop w:val="0"/>
          <w:marBottom w:val="0"/>
          <w:divBdr>
            <w:top w:val="none" w:sz="0" w:space="0" w:color="auto"/>
            <w:left w:val="none" w:sz="0" w:space="0" w:color="auto"/>
            <w:bottom w:val="none" w:sz="0" w:space="0" w:color="auto"/>
            <w:right w:val="none" w:sz="0" w:space="0" w:color="auto"/>
          </w:divBdr>
        </w:div>
        <w:div w:id="49229150">
          <w:marLeft w:val="0"/>
          <w:marRight w:val="0"/>
          <w:marTop w:val="0"/>
          <w:marBottom w:val="0"/>
          <w:divBdr>
            <w:top w:val="none" w:sz="0" w:space="0" w:color="auto"/>
            <w:left w:val="none" w:sz="0" w:space="0" w:color="auto"/>
            <w:bottom w:val="none" w:sz="0" w:space="0" w:color="auto"/>
            <w:right w:val="none" w:sz="0" w:space="0" w:color="auto"/>
          </w:divBdr>
        </w:div>
        <w:div w:id="197158866">
          <w:marLeft w:val="0"/>
          <w:marRight w:val="0"/>
          <w:marTop w:val="0"/>
          <w:marBottom w:val="0"/>
          <w:divBdr>
            <w:top w:val="none" w:sz="0" w:space="0" w:color="auto"/>
            <w:left w:val="none" w:sz="0" w:space="0" w:color="auto"/>
            <w:bottom w:val="none" w:sz="0" w:space="0" w:color="auto"/>
            <w:right w:val="none" w:sz="0" w:space="0" w:color="auto"/>
          </w:divBdr>
        </w:div>
        <w:div w:id="211356444">
          <w:marLeft w:val="0"/>
          <w:marRight w:val="0"/>
          <w:marTop w:val="0"/>
          <w:marBottom w:val="0"/>
          <w:divBdr>
            <w:top w:val="none" w:sz="0" w:space="0" w:color="auto"/>
            <w:left w:val="none" w:sz="0" w:space="0" w:color="auto"/>
            <w:bottom w:val="none" w:sz="0" w:space="0" w:color="auto"/>
            <w:right w:val="none" w:sz="0" w:space="0" w:color="auto"/>
          </w:divBdr>
        </w:div>
      </w:divsChild>
    </w:div>
    <w:div w:id="889613362">
      <w:bodyDiv w:val="1"/>
      <w:marLeft w:val="0"/>
      <w:marRight w:val="0"/>
      <w:marTop w:val="0"/>
      <w:marBottom w:val="0"/>
      <w:divBdr>
        <w:top w:val="none" w:sz="0" w:space="0" w:color="auto"/>
        <w:left w:val="none" w:sz="0" w:space="0" w:color="auto"/>
        <w:bottom w:val="none" w:sz="0" w:space="0" w:color="auto"/>
        <w:right w:val="none" w:sz="0" w:space="0" w:color="auto"/>
      </w:divBdr>
      <w:divsChild>
        <w:div w:id="1886944622">
          <w:marLeft w:val="0"/>
          <w:marRight w:val="0"/>
          <w:marTop w:val="0"/>
          <w:marBottom w:val="0"/>
          <w:divBdr>
            <w:top w:val="none" w:sz="0" w:space="0" w:color="auto"/>
            <w:left w:val="none" w:sz="0" w:space="0" w:color="auto"/>
            <w:bottom w:val="none" w:sz="0" w:space="0" w:color="auto"/>
            <w:right w:val="none" w:sz="0" w:space="0" w:color="auto"/>
          </w:divBdr>
        </w:div>
        <w:div w:id="209615135">
          <w:marLeft w:val="0"/>
          <w:marRight w:val="0"/>
          <w:marTop w:val="0"/>
          <w:marBottom w:val="0"/>
          <w:divBdr>
            <w:top w:val="none" w:sz="0" w:space="0" w:color="auto"/>
            <w:left w:val="none" w:sz="0" w:space="0" w:color="auto"/>
            <w:bottom w:val="none" w:sz="0" w:space="0" w:color="auto"/>
            <w:right w:val="none" w:sz="0" w:space="0" w:color="auto"/>
          </w:divBdr>
        </w:div>
        <w:div w:id="1283734032">
          <w:marLeft w:val="0"/>
          <w:marRight w:val="0"/>
          <w:marTop w:val="0"/>
          <w:marBottom w:val="0"/>
          <w:divBdr>
            <w:top w:val="none" w:sz="0" w:space="0" w:color="auto"/>
            <w:left w:val="none" w:sz="0" w:space="0" w:color="auto"/>
            <w:bottom w:val="none" w:sz="0" w:space="0" w:color="auto"/>
            <w:right w:val="none" w:sz="0" w:space="0" w:color="auto"/>
          </w:divBdr>
        </w:div>
        <w:div w:id="103547405">
          <w:marLeft w:val="0"/>
          <w:marRight w:val="0"/>
          <w:marTop w:val="0"/>
          <w:marBottom w:val="0"/>
          <w:divBdr>
            <w:top w:val="none" w:sz="0" w:space="0" w:color="auto"/>
            <w:left w:val="none" w:sz="0" w:space="0" w:color="auto"/>
            <w:bottom w:val="none" w:sz="0" w:space="0" w:color="auto"/>
            <w:right w:val="none" w:sz="0" w:space="0" w:color="auto"/>
          </w:divBdr>
        </w:div>
      </w:divsChild>
    </w:div>
    <w:div w:id="922422502">
      <w:bodyDiv w:val="1"/>
      <w:marLeft w:val="0"/>
      <w:marRight w:val="0"/>
      <w:marTop w:val="0"/>
      <w:marBottom w:val="0"/>
      <w:divBdr>
        <w:top w:val="none" w:sz="0" w:space="0" w:color="auto"/>
        <w:left w:val="none" w:sz="0" w:space="0" w:color="auto"/>
        <w:bottom w:val="none" w:sz="0" w:space="0" w:color="auto"/>
        <w:right w:val="none" w:sz="0" w:space="0" w:color="auto"/>
      </w:divBdr>
    </w:div>
    <w:div w:id="1683970610">
      <w:bodyDiv w:val="1"/>
      <w:marLeft w:val="0"/>
      <w:marRight w:val="0"/>
      <w:marTop w:val="0"/>
      <w:marBottom w:val="0"/>
      <w:divBdr>
        <w:top w:val="none" w:sz="0" w:space="0" w:color="auto"/>
        <w:left w:val="none" w:sz="0" w:space="0" w:color="auto"/>
        <w:bottom w:val="none" w:sz="0" w:space="0" w:color="auto"/>
        <w:right w:val="none" w:sz="0" w:space="0" w:color="auto"/>
      </w:divBdr>
      <w:divsChild>
        <w:div w:id="1625963823">
          <w:marLeft w:val="0"/>
          <w:marRight w:val="0"/>
          <w:marTop w:val="0"/>
          <w:marBottom w:val="0"/>
          <w:divBdr>
            <w:top w:val="none" w:sz="0" w:space="0" w:color="auto"/>
            <w:left w:val="none" w:sz="0" w:space="0" w:color="auto"/>
            <w:bottom w:val="none" w:sz="0" w:space="0" w:color="auto"/>
            <w:right w:val="none" w:sz="0" w:space="0" w:color="auto"/>
          </w:divBdr>
        </w:div>
        <w:div w:id="1295016100">
          <w:marLeft w:val="0"/>
          <w:marRight w:val="0"/>
          <w:marTop w:val="0"/>
          <w:marBottom w:val="0"/>
          <w:divBdr>
            <w:top w:val="none" w:sz="0" w:space="0" w:color="auto"/>
            <w:left w:val="none" w:sz="0" w:space="0" w:color="auto"/>
            <w:bottom w:val="none" w:sz="0" w:space="0" w:color="auto"/>
            <w:right w:val="none" w:sz="0" w:space="0" w:color="auto"/>
          </w:divBdr>
        </w:div>
        <w:div w:id="718360235">
          <w:marLeft w:val="0"/>
          <w:marRight w:val="0"/>
          <w:marTop w:val="0"/>
          <w:marBottom w:val="0"/>
          <w:divBdr>
            <w:top w:val="none" w:sz="0" w:space="0" w:color="auto"/>
            <w:left w:val="none" w:sz="0" w:space="0" w:color="auto"/>
            <w:bottom w:val="none" w:sz="0" w:space="0" w:color="auto"/>
            <w:right w:val="none" w:sz="0" w:space="0" w:color="auto"/>
          </w:divBdr>
        </w:div>
        <w:div w:id="548610756">
          <w:marLeft w:val="0"/>
          <w:marRight w:val="0"/>
          <w:marTop w:val="0"/>
          <w:marBottom w:val="0"/>
          <w:divBdr>
            <w:top w:val="none" w:sz="0" w:space="0" w:color="auto"/>
            <w:left w:val="none" w:sz="0" w:space="0" w:color="auto"/>
            <w:bottom w:val="none" w:sz="0" w:space="0" w:color="auto"/>
            <w:right w:val="none" w:sz="0" w:space="0" w:color="auto"/>
          </w:divBdr>
        </w:div>
        <w:div w:id="1156605221">
          <w:marLeft w:val="0"/>
          <w:marRight w:val="0"/>
          <w:marTop w:val="0"/>
          <w:marBottom w:val="0"/>
          <w:divBdr>
            <w:top w:val="none" w:sz="0" w:space="0" w:color="auto"/>
            <w:left w:val="none" w:sz="0" w:space="0" w:color="auto"/>
            <w:bottom w:val="none" w:sz="0" w:space="0" w:color="auto"/>
            <w:right w:val="none" w:sz="0" w:space="0" w:color="auto"/>
          </w:divBdr>
        </w:div>
        <w:div w:id="1693067439">
          <w:marLeft w:val="0"/>
          <w:marRight w:val="0"/>
          <w:marTop w:val="0"/>
          <w:marBottom w:val="0"/>
          <w:divBdr>
            <w:top w:val="none" w:sz="0" w:space="0" w:color="auto"/>
            <w:left w:val="none" w:sz="0" w:space="0" w:color="auto"/>
            <w:bottom w:val="none" w:sz="0" w:space="0" w:color="auto"/>
            <w:right w:val="none" w:sz="0" w:space="0" w:color="auto"/>
          </w:divBdr>
        </w:div>
        <w:div w:id="124198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art-9-gdpr/" TargetMode="External"/><Relationship Id="rId18" Type="http://schemas.openxmlformats.org/officeDocument/2006/relationships/hyperlink" Target="https://www.dataprotection.ie/sites/default/files/uploads/2020-04/Guidance%20on%20Legal%20Bas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dpr-info.eu/art-6-gdpr/" TargetMode="External"/><Relationship Id="rId17" Type="http://schemas.openxmlformats.org/officeDocument/2006/relationships/hyperlink" Target="https://www.edpb.europa.eu/our-work-tools/our-documents/opinion-art-70/opinion-32019-concerning-questions-and-answers_en" TargetMode="External"/><Relationship Id="rId2" Type="http://schemas.openxmlformats.org/officeDocument/2006/relationships/customXml" Target="../customXml/item2.xml"/><Relationship Id="rId16" Type="http://schemas.openxmlformats.org/officeDocument/2006/relationships/hyperlink" Target="https://www.irishstatutebook.ie/eli/2018/act/27/enacted/en/pr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rishstatutebook.ie/eli/1997/act/24/section/12/enacted/e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04/act/42/section/7/enacted/en/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iles\Downloads\DRAFT%20HRDPN%20Legal%20Basis%20Guidance%20Document%20EF%2025.11.%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216f76-b608-4393-a8cb-2143d9522fe5">
      <Terms xmlns="http://schemas.microsoft.com/office/infopath/2007/PartnerControls"/>
    </lcf76f155ced4ddcb4097134ff3c332f>
    <TaxCatchAll xmlns="dab8b9c1-9c38-42e3-ab07-fd6e2028a2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280C7C2685404880DB265719DDEA24" ma:contentTypeVersion="15" ma:contentTypeDescription="Create a new document." ma:contentTypeScope="" ma:versionID="640d0d6c252187face039b37a2e34c52">
  <xsd:schema xmlns:xsd="http://www.w3.org/2001/XMLSchema" xmlns:xs="http://www.w3.org/2001/XMLSchema" xmlns:p="http://schemas.microsoft.com/office/2006/metadata/properties" xmlns:ns2="80216f76-b608-4393-a8cb-2143d9522fe5" xmlns:ns3="dab8b9c1-9c38-42e3-ab07-fd6e2028a2b9" targetNamespace="http://schemas.microsoft.com/office/2006/metadata/properties" ma:root="true" ma:fieldsID="985cb4db97520a01761ecf794ab0a49c" ns2:_="" ns3:_="">
    <xsd:import namespace="80216f76-b608-4393-a8cb-2143d9522fe5"/>
    <xsd:import namespace="dab8b9c1-9c38-42e3-ab07-fd6e2028a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6f76-b608-4393-a8cb-2143d952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b9c1-9c38-42e3-ab07-fd6e2028a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d08eee-2845-45e1-b623-3c614791605e}" ma:internalName="TaxCatchAll" ma:showField="CatchAllData" ma:web="dab8b9c1-9c38-42e3-ab07-fd6e2028a2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9C563-F6DD-4A79-AD90-D45E308662F6}">
  <ds:schemaRefs>
    <ds:schemaRef ds:uri="http://schemas.openxmlformats.org/officeDocument/2006/bibliography"/>
  </ds:schemaRefs>
</ds:datastoreItem>
</file>

<file path=customXml/itemProps2.xml><?xml version="1.0" encoding="utf-8"?>
<ds:datastoreItem xmlns:ds="http://schemas.openxmlformats.org/officeDocument/2006/customXml" ds:itemID="{6A0CE032-825B-4436-8DBC-E7D5C9BD488C}">
  <ds:schemaRefs>
    <ds:schemaRef ds:uri="http://schemas.microsoft.com/office/2006/metadata/properties"/>
    <ds:schemaRef ds:uri="http://schemas.microsoft.com/office/infopath/2007/PartnerControls"/>
    <ds:schemaRef ds:uri="80216f76-b608-4393-a8cb-2143d9522fe5"/>
    <ds:schemaRef ds:uri="dab8b9c1-9c38-42e3-ab07-fd6e2028a2b9"/>
  </ds:schemaRefs>
</ds:datastoreItem>
</file>

<file path=customXml/itemProps3.xml><?xml version="1.0" encoding="utf-8"?>
<ds:datastoreItem xmlns:ds="http://schemas.openxmlformats.org/officeDocument/2006/customXml" ds:itemID="{CDA03C29-7942-4157-A477-6C28F0CE2D8F}">
  <ds:schemaRefs>
    <ds:schemaRef ds:uri="http://schemas.microsoft.com/sharepoint/v3/contenttype/forms"/>
  </ds:schemaRefs>
</ds:datastoreItem>
</file>

<file path=customXml/itemProps4.xml><?xml version="1.0" encoding="utf-8"?>
<ds:datastoreItem xmlns:ds="http://schemas.openxmlformats.org/officeDocument/2006/customXml" ds:itemID="{65325721-1EEA-4662-AEC4-8B7C4535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6f76-b608-4393-a8cb-2143d9522fe5"/>
    <ds:schemaRef ds:uri="dab8b9c1-9c38-42e3-ab07-fd6e2028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HRDPN Legal Basis Guidance Document EF 25.11. 23 (1).dotx</Template>
  <TotalTime>0</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Giles</dc:creator>
  <cp:keywords/>
  <dc:description/>
  <cp:lastModifiedBy>Stephen McCarthy</cp:lastModifiedBy>
  <cp:revision>3</cp:revision>
  <dcterms:created xsi:type="dcterms:W3CDTF">2024-05-08T20:19:00Z</dcterms:created>
  <dcterms:modified xsi:type="dcterms:W3CDTF">2024-05-22T08:36:00Z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0x01010050280C7C2685404880DB265719DDEA24</vt:lpwstr>
  </property>
</Properties>
</file>